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202" w:hanging="426" w:hangingChars="142"/>
        <w:rPr>
          <w:rFonts w:ascii="Times New Roman" w:hAnsi="Times New Roman" w:eastAsia="方正小标宋简体" w:cs="Times New Roman"/>
          <w:sz w:val="30"/>
          <w:szCs w:val="30"/>
        </w:rPr>
      </w:pPr>
      <w:r>
        <w:rPr>
          <w:rFonts w:hint="eastAsia" w:ascii="黑体" w:hAnsi="黑体" w:eastAsia="黑体" w:cs="方正小标宋简体"/>
          <w:sz w:val="30"/>
          <w:szCs w:val="30"/>
        </w:rPr>
        <w:t>附件</w:t>
      </w:r>
      <w:r>
        <w:rPr>
          <w:rFonts w:ascii="Times New Roman" w:hAnsi="Times New Roman" w:eastAsia="方正小标宋简体" w:cs="Times New Roman"/>
          <w:sz w:val="30"/>
          <w:szCs w:val="30"/>
        </w:rPr>
        <w:t>1</w:t>
      </w:r>
    </w:p>
    <w:p>
      <w:pPr>
        <w:snapToGrid w:val="0"/>
        <w:jc w:val="center"/>
        <w:rPr>
          <w:rFonts w:ascii="方正小标宋简体" w:hAnsi="黑体" w:eastAsia="方正小标宋简体" w:cs="方正小标宋简体"/>
          <w:sz w:val="30"/>
          <w:szCs w:val="30"/>
        </w:rPr>
      </w:pPr>
      <w:r>
        <w:rPr>
          <w:rFonts w:hint="eastAsia" w:ascii="方正小标宋简体" w:hAnsi="黑体" w:eastAsia="方正小标宋简体" w:cs="方正小标宋简体"/>
          <w:sz w:val="30"/>
          <w:szCs w:val="30"/>
        </w:rPr>
        <w:t>“明要求 习‘四史’ 学楷模 遵规范，</w:t>
      </w:r>
    </w:p>
    <w:p>
      <w:pPr>
        <w:snapToGrid w:val="0"/>
        <w:jc w:val="center"/>
        <w:rPr>
          <w:rFonts w:ascii="方正小标宋简体" w:hAnsi="黑体" w:eastAsia="方正小标宋简体" w:cs="方正小标宋简体"/>
          <w:sz w:val="30"/>
          <w:szCs w:val="30"/>
        </w:rPr>
      </w:pPr>
      <w:r>
        <w:rPr>
          <w:rFonts w:hint="eastAsia" w:ascii="方正小标宋简体" w:hAnsi="黑体" w:eastAsia="方正小标宋简体" w:cs="方正小标宋简体"/>
          <w:sz w:val="30"/>
          <w:szCs w:val="30"/>
        </w:rPr>
        <w:t>加强新时代师德师风建设”专题网络培训课程列表</w:t>
      </w:r>
    </w:p>
    <w:tbl>
      <w:tblPr>
        <w:tblStyle w:val="2"/>
        <w:tblW w:w="5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4264"/>
        <w:gridCol w:w="98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shd w:val="clear" w:color="auto" w:fill="auto"/>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课程模块</w:t>
            </w:r>
          </w:p>
        </w:tc>
        <w:tc>
          <w:tcPr>
            <w:tcW w:w="2142" w:type="pct"/>
            <w:shd w:val="clear" w:color="auto" w:fill="auto"/>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课程名称</w:t>
            </w:r>
          </w:p>
        </w:tc>
        <w:tc>
          <w:tcPr>
            <w:tcW w:w="496" w:type="pct"/>
            <w:shd w:val="clear" w:color="auto" w:fill="auto"/>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主讲人</w:t>
            </w:r>
          </w:p>
        </w:tc>
        <w:tc>
          <w:tcPr>
            <w:tcW w:w="1487" w:type="pct"/>
            <w:shd w:val="clear" w:color="auto" w:fill="auto"/>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restart"/>
            <w:vAlign w:val="center"/>
          </w:tcPr>
          <w:p>
            <w:pPr>
              <w:adjustRightInd w:val="0"/>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加强理论修养</w:t>
            </w:r>
          </w:p>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b/>
                <w:kern w:val="0"/>
                <w:sz w:val="24"/>
                <w:szCs w:val="24"/>
              </w:rPr>
              <w:t>坚定理想信念</w:t>
            </w:r>
          </w:p>
        </w:tc>
        <w:tc>
          <w:tcPr>
            <w:tcW w:w="2142"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挺起共产党人的精神脊梁——学习习近平总书记关于坚定理想信念的重要论述</w:t>
            </w:r>
          </w:p>
        </w:tc>
        <w:tc>
          <w:tcPr>
            <w:tcW w:w="496" w:type="pct"/>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陈冬生</w:t>
            </w:r>
          </w:p>
        </w:tc>
        <w:tc>
          <w:tcPr>
            <w:tcW w:w="1487"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坚持立德树人，建设教育强国——学习《习近平总书记教育重要论述讲义》</w:t>
            </w:r>
          </w:p>
        </w:tc>
        <w:tc>
          <w:tcPr>
            <w:tcW w:w="496" w:type="pct"/>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王炳林</w:t>
            </w:r>
          </w:p>
        </w:tc>
        <w:tc>
          <w:tcPr>
            <w:tcW w:w="1487"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从习近平青年教育观看新时代思想政治教育新使命</w:t>
            </w:r>
          </w:p>
        </w:tc>
        <w:tc>
          <w:tcPr>
            <w:tcW w:w="496" w:type="pct"/>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冯  培</w:t>
            </w:r>
          </w:p>
        </w:tc>
        <w:tc>
          <w:tcPr>
            <w:tcW w:w="1487"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首都经济贸易大学原党委书记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师德的“底线”与“崇高”</w:t>
            </w:r>
          </w:p>
        </w:tc>
        <w:tc>
          <w:tcPr>
            <w:tcW w:w="496" w:type="pct"/>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张志坤</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首都师范大学初等教育学院副院长，副教授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widowControl/>
              <w:textAlignment w:val="center"/>
              <w:rPr>
                <w:rFonts w:ascii="Times New Roman" w:hAnsi="Times New Roman" w:eastAsia="仿宋" w:cs="Times New Roman"/>
                <w:sz w:val="24"/>
                <w:szCs w:val="24"/>
              </w:rPr>
            </w:pPr>
            <w:r>
              <w:rPr>
                <w:rFonts w:hint="eastAsia" w:ascii="Times New Roman" w:hAnsi="Times New Roman" w:eastAsia="仿宋" w:cs="Times New Roman"/>
                <w:sz w:val="24"/>
                <w:szCs w:val="24"/>
              </w:rPr>
              <w:t>坚定政治信仰，勇于担当作为</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张希贤</w:t>
            </w:r>
          </w:p>
        </w:tc>
        <w:tc>
          <w:tcPr>
            <w:tcW w:w="1487" w:type="pct"/>
            <w:shd w:val="clear" w:color="auto" w:fill="auto"/>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widowControl/>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做明大德 守公德 严私德的时代新人</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于文博</w:t>
            </w:r>
          </w:p>
        </w:tc>
        <w:tc>
          <w:tcPr>
            <w:tcW w:w="1487" w:type="pct"/>
            <w:shd w:val="clear" w:color="auto" w:fill="auto"/>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北京化工大学马克思主义学院教授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restart"/>
            <w:vAlign w:val="center"/>
          </w:tcPr>
          <w:p>
            <w:pPr>
              <w:adjustRightInd w:val="0"/>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强化四史学习</w:t>
            </w:r>
          </w:p>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b/>
                <w:kern w:val="0"/>
                <w:sz w:val="24"/>
                <w:szCs w:val="24"/>
              </w:rPr>
              <w:t>汲取奋进力量</w:t>
            </w: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百年大党开创民族复兴辉煌未来的政治宣言——学习习近平总书记“七一”重要讲话精神</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颜晓峰</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adjustRightInd w:val="0"/>
              <w:snapToGrid w:val="0"/>
              <w:rPr>
                <w:rFonts w:ascii="Times New Roman" w:hAnsi="Times New Roman" w:eastAsia="仿宋" w:cs="Times New Roman"/>
                <w:kern w:val="0"/>
                <w:sz w:val="24"/>
                <w:szCs w:val="24"/>
                <w:highlight w:val="yellow"/>
              </w:rPr>
            </w:pPr>
            <w:r>
              <w:rPr>
                <w:rFonts w:hint="eastAsia" w:ascii="Times New Roman" w:hAnsi="Times New Roman" w:eastAsia="仿宋" w:cs="Times New Roman"/>
                <w:kern w:val="0"/>
                <w:sz w:val="24"/>
                <w:szCs w:val="24"/>
              </w:rPr>
              <w:t>学好党史奋勇前行——学习习近平总书记在党史学习教育动员大会上的重要讲话</w:t>
            </w:r>
          </w:p>
        </w:tc>
        <w:tc>
          <w:tcPr>
            <w:tcW w:w="496" w:type="pct"/>
            <w:vAlign w:val="center"/>
          </w:tcPr>
          <w:p>
            <w:pPr>
              <w:adjustRightInd w:val="0"/>
              <w:snapToGrid w:val="0"/>
              <w:jc w:val="center"/>
              <w:rPr>
                <w:rFonts w:ascii="Times New Roman" w:hAnsi="Times New Roman" w:eastAsia="仿宋" w:cs="Times New Roman"/>
                <w:kern w:val="0"/>
                <w:sz w:val="24"/>
                <w:szCs w:val="24"/>
                <w:highlight w:val="yellow"/>
              </w:rPr>
            </w:pPr>
            <w:r>
              <w:rPr>
                <w:rFonts w:hint="eastAsia" w:ascii="Times New Roman" w:hAnsi="Times New Roman" w:eastAsia="仿宋" w:cs="Times New Roman"/>
                <w:kern w:val="0"/>
                <w:sz w:val="24"/>
                <w:szCs w:val="24"/>
              </w:rPr>
              <w:t xml:space="preserve">李 </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蓉</w:t>
            </w:r>
          </w:p>
        </w:tc>
        <w:tc>
          <w:tcPr>
            <w:tcW w:w="1487" w:type="pct"/>
            <w:vAlign w:val="center"/>
          </w:tcPr>
          <w:p>
            <w:pPr>
              <w:adjustRightInd w:val="0"/>
              <w:snapToGrid w:val="0"/>
              <w:rPr>
                <w:rFonts w:ascii="Times New Roman" w:hAnsi="Times New Roman" w:eastAsia="仿宋" w:cs="Times New Roman"/>
                <w:kern w:val="0"/>
                <w:sz w:val="24"/>
                <w:szCs w:val="24"/>
                <w:highlight w:val="yellow"/>
              </w:rPr>
            </w:pPr>
            <w:r>
              <w:rPr>
                <w:rFonts w:hint="eastAsia" w:ascii="Times New Roman" w:hAnsi="Times New Roman" w:eastAsia="仿宋" w:cs="Times New Roman"/>
                <w:kern w:val="0"/>
                <w:sz w:val="24"/>
                <w:szCs w:val="24"/>
              </w:rPr>
              <w:t>中共中央党史研究室研究员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在学习党史新中国史中坚定“四个自信”</w:t>
            </w:r>
          </w:p>
        </w:tc>
        <w:tc>
          <w:tcPr>
            <w:tcW w:w="496" w:type="pct"/>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王新生</w:t>
            </w:r>
          </w:p>
        </w:tc>
        <w:tc>
          <w:tcPr>
            <w:tcW w:w="1487"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原中共中央党史研究室研究员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百年大党与中国巨变——庆祝中国共产党成立100周年</w:t>
            </w:r>
          </w:p>
        </w:tc>
        <w:tc>
          <w:tcPr>
            <w:tcW w:w="496" w:type="pct"/>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刘  春</w:t>
            </w:r>
          </w:p>
        </w:tc>
        <w:tc>
          <w:tcPr>
            <w:tcW w:w="1487" w:type="pct"/>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勇挑民族复兴重担  赓续百年奋斗伟业</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蔡红建</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北京交通大学马克思主义学院党委书记、教授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中国共产党领导改革开放和社会主义现代化建设的历史性成就与经验</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陈凯龙</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中共中央党校（国家行政学院）党建部教授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改革开放的历程和基本经验</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王炳林</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社会主义建设的伟大成就及探索中的曲折</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纪亚光</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南开大学马克思主义学院教授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restart"/>
            <w:vAlign w:val="center"/>
          </w:tcPr>
          <w:p>
            <w:pPr>
              <w:adjustRightInd w:val="0"/>
              <w:snapToGrid w:val="0"/>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对标先进典型</w:t>
            </w:r>
          </w:p>
          <w:p>
            <w:pPr>
              <w:adjustRightInd w:val="0"/>
              <w:snapToGrid w:val="0"/>
              <w:jc w:val="center"/>
              <w:rPr>
                <w:rFonts w:ascii="Times New Roman" w:hAnsi="Times New Roman" w:eastAsia="仿宋" w:cs="Times New Roman"/>
                <w:kern w:val="0"/>
                <w:sz w:val="24"/>
                <w:szCs w:val="24"/>
              </w:rPr>
            </w:pPr>
            <w:r>
              <w:rPr>
                <w:rFonts w:hint="eastAsia" w:ascii="仿宋" w:hAnsi="仿宋" w:eastAsia="仿宋" w:cs="Times New Roman"/>
                <w:b/>
                <w:bCs/>
                <w:kern w:val="0"/>
                <w:sz w:val="24"/>
                <w:szCs w:val="24"/>
              </w:rPr>
              <w:t>汲取榜样力量</w:t>
            </w: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黄大年同志先进事迹报告</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于 </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平</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吉林大学地球探测科学与技术学院教授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钟扬同志先进事迹报告会</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南 </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蓬</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复旦大学生命科学学院副教授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听他们讲李保国的故事</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访谈片</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当代教师风采</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专题片</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教师、教育、教学——做教育事业的筑梦人</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高  夯</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全国教育育人楷模、东北师范大学教授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75" w:type="pct"/>
            <w:vMerge w:val="continue"/>
            <w:textDirection w:val="tbRlV"/>
            <w:vAlign w:val="center"/>
          </w:tcPr>
          <w:p>
            <w:pPr>
              <w:adjustRightInd w:val="0"/>
              <w:snapToGrid w:val="0"/>
              <w:ind w:left="113" w:right="113"/>
              <w:jc w:val="center"/>
              <w:rPr>
                <w:rFonts w:ascii="Times New Roman" w:hAnsi="Times New Roman" w:eastAsia="仿宋" w:cs="Times New Roman"/>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常修为师之德，常怀崇教之心</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杨宗丽</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全国模范教师、中央民族大学马克思主义学院教授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75" w:type="pct"/>
            <w:vMerge w:val="restart"/>
            <w:vAlign w:val="center"/>
          </w:tcPr>
          <w:p>
            <w:pPr>
              <w:adjustRightInd w:val="0"/>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熟悉政策法规</w:t>
            </w:r>
          </w:p>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b/>
                <w:kern w:val="0"/>
                <w:sz w:val="24"/>
                <w:szCs w:val="24"/>
              </w:rPr>
              <w:t>坚守师德底线</w:t>
            </w: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教育廉洁与教育工作者的使命</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任建明</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北京航空航天大学公共管理学院教授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教师职业行为十项准则解读：典型案例与警示教育</w:t>
            </w:r>
          </w:p>
        </w:tc>
        <w:tc>
          <w:tcPr>
            <w:tcW w:w="496" w:type="pct"/>
            <w:vMerge w:val="restar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张 </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冉</w:t>
            </w:r>
          </w:p>
        </w:tc>
        <w:tc>
          <w:tcPr>
            <w:tcW w:w="1487" w:type="pct"/>
            <w:vMerge w:val="restar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北京大学教育学院副教授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学校法律风险防范新形势与新要求</w:t>
            </w:r>
          </w:p>
        </w:tc>
        <w:tc>
          <w:tcPr>
            <w:tcW w:w="496" w:type="pct"/>
            <w:vMerge w:val="continue"/>
            <w:shd w:val="clear" w:color="auto" w:fill="auto"/>
            <w:vAlign w:val="center"/>
          </w:tcPr>
          <w:p>
            <w:pPr>
              <w:adjustRightInd w:val="0"/>
              <w:snapToGrid w:val="0"/>
              <w:jc w:val="center"/>
              <w:rPr>
                <w:rFonts w:ascii="Times New Roman" w:hAnsi="Times New Roman" w:eastAsia="仿宋" w:cs="Times New Roman"/>
                <w:kern w:val="0"/>
                <w:sz w:val="24"/>
                <w:szCs w:val="24"/>
              </w:rPr>
            </w:pPr>
          </w:p>
        </w:tc>
        <w:tc>
          <w:tcPr>
            <w:tcW w:w="1487" w:type="pct"/>
            <w:vMerge w:val="continue"/>
            <w:shd w:val="clear" w:color="auto" w:fill="auto"/>
            <w:vAlign w:val="center"/>
          </w:tcPr>
          <w:p>
            <w:pPr>
              <w:adjustRightInd w:val="0"/>
              <w:snapToGrid w:val="0"/>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新修订《教育法》解读</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高晓莹</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北京交通大学法学院教授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高校学术治理的法治框架：《高等学校预防与处理学术不端行为办法》解读</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王大泉</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用好学规这把戒尺，提高人才培养质量——高校学生管理规定解读</w:t>
            </w:r>
          </w:p>
        </w:tc>
        <w:tc>
          <w:tcPr>
            <w:tcW w:w="496" w:type="pct"/>
            <w:shd w:val="clear" w:color="auto" w:fill="auto"/>
            <w:vAlign w:val="center"/>
          </w:tcPr>
          <w:p>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解汉林</w:t>
            </w:r>
          </w:p>
        </w:tc>
        <w:tc>
          <w:tcPr>
            <w:tcW w:w="1487" w:type="pct"/>
            <w:shd w:val="clear" w:color="auto" w:fill="auto"/>
            <w:vAlign w:val="center"/>
          </w:tcPr>
          <w:p>
            <w:pPr>
              <w:adjustRightInd w:val="0"/>
              <w:snapToGrid w:val="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教育部学生司学籍学历管理处处长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restart"/>
            <w:vAlign w:val="center"/>
          </w:tcPr>
          <w:p>
            <w:pPr>
              <w:adjustRightInd w:val="0"/>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关心爱护学生</w:t>
            </w:r>
          </w:p>
          <w:p>
            <w:pPr>
              <w:adjustRightInd w:val="0"/>
              <w:snapToGrid w:val="0"/>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潜心教书育人</w:t>
            </w: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关注心理健康 做大学生成才的心灵导师</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宁维卫</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西南交通大学心理研究与咨询中心教授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教育教学实践与立德树人</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徐  蓉</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同济大学马克思主义学院院长、教授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加强以学生为中心的课堂教学创新</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赵常兴</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西安电子科技大学马克思主义学院副教授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做好压力疏导 促进学生健康成长</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李旭珊</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北京理工大学心理健康教育与咨询中心主任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实施课程思政，做有教育的教学</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张宏彬</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扬州工业职业技术学院信息工程学院教授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一线教师如何做好课程思政</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李侃侃</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西北农林科技大学风景园林艺术学院教师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Times New Roman" w:hAnsi="Times New Roman" w:eastAsia="仿宋" w:cs="Times New Roman"/>
                <w:b/>
                <w:kern w:val="0"/>
                <w:sz w:val="24"/>
                <w:szCs w:val="24"/>
              </w:rPr>
            </w:pPr>
          </w:p>
        </w:tc>
        <w:tc>
          <w:tcPr>
            <w:tcW w:w="2142"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精细、耐心、协同——高校学生安全管理案例分享</w:t>
            </w:r>
          </w:p>
        </w:tc>
        <w:tc>
          <w:tcPr>
            <w:tcW w:w="496" w:type="pct"/>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张金学</w:t>
            </w:r>
          </w:p>
        </w:tc>
        <w:tc>
          <w:tcPr>
            <w:tcW w:w="1487" w:type="pct"/>
            <w:vAlign w:val="center"/>
          </w:tcPr>
          <w:p>
            <w:pPr>
              <w:widowControl/>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中南大学建筑与艺术学院党委副书记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restart"/>
            <w:vAlign w:val="center"/>
          </w:tcPr>
          <w:p>
            <w:pPr>
              <w:adjustRightInd w:val="0"/>
              <w:snapToGrid w:val="0"/>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维护身心健康</w:t>
            </w:r>
          </w:p>
          <w:p>
            <w:pPr>
              <w:adjustRightInd w:val="0"/>
              <w:snapToGrid w:val="0"/>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养成健全人格</w:t>
            </w:r>
          </w:p>
        </w:tc>
        <w:tc>
          <w:tcPr>
            <w:tcW w:w="2142" w:type="pct"/>
            <w:vAlign w:val="center"/>
          </w:tcPr>
          <w:p>
            <w:pPr>
              <w:adjustRightInd w:val="0"/>
              <w:snapToGrid w:val="0"/>
              <w:rPr>
                <w:rFonts w:ascii="仿宋" w:hAnsi="仿宋" w:eastAsia="仿宋" w:cs="Times New Roman"/>
                <w:bCs/>
                <w:kern w:val="0"/>
                <w:sz w:val="24"/>
                <w:szCs w:val="24"/>
              </w:rPr>
            </w:pPr>
            <w:r>
              <w:rPr>
                <w:rFonts w:hint="eastAsia" w:ascii="仿宋" w:hAnsi="仿宋" w:eastAsia="仿宋" w:cs="Times New Roman"/>
                <w:bCs/>
                <w:kern w:val="0"/>
                <w:sz w:val="24"/>
                <w:szCs w:val="24"/>
              </w:rPr>
              <w:t>教师的心理健康与压力管理</w:t>
            </w:r>
          </w:p>
        </w:tc>
        <w:tc>
          <w:tcPr>
            <w:tcW w:w="496" w:type="pct"/>
            <w:vAlign w:val="center"/>
          </w:tcPr>
          <w:p>
            <w:pPr>
              <w:adjustRightInd w:val="0"/>
              <w:snapToGrid w:val="0"/>
              <w:jc w:val="center"/>
              <w:rPr>
                <w:rFonts w:ascii="仿宋" w:hAnsi="仿宋" w:eastAsia="仿宋" w:cs="方正仿宋简体"/>
                <w:bCs/>
                <w:kern w:val="0"/>
                <w:sz w:val="24"/>
                <w:szCs w:val="24"/>
              </w:rPr>
            </w:pPr>
            <w:r>
              <w:rPr>
                <w:rFonts w:hint="eastAsia" w:ascii="仿宋" w:hAnsi="仿宋" w:eastAsia="仿宋" w:cs="方正仿宋简体"/>
                <w:bCs/>
                <w:kern w:val="0"/>
                <w:sz w:val="24"/>
                <w:szCs w:val="24"/>
              </w:rPr>
              <w:t>刘破资</w:t>
            </w:r>
          </w:p>
        </w:tc>
        <w:tc>
          <w:tcPr>
            <w:tcW w:w="1487" w:type="pct"/>
            <w:vAlign w:val="center"/>
          </w:tcPr>
          <w:p>
            <w:pPr>
              <w:adjustRightInd w:val="0"/>
              <w:snapToGrid w:val="0"/>
              <w:rPr>
                <w:rFonts w:ascii="仿宋" w:hAnsi="仿宋" w:eastAsia="仿宋" w:cs="方正仿宋简体"/>
                <w:bCs/>
                <w:kern w:val="0"/>
                <w:sz w:val="24"/>
                <w:szCs w:val="24"/>
              </w:rPr>
            </w:pPr>
            <w:r>
              <w:rPr>
                <w:rFonts w:hint="eastAsia" w:ascii="仿宋" w:hAnsi="仿宋" w:eastAsia="仿宋" w:cs="方正仿宋简体"/>
                <w:bCs/>
                <w:kern w:val="0"/>
                <w:sz w:val="24"/>
                <w:szCs w:val="24"/>
              </w:rPr>
              <w:t>清华大学玉泉医院精神卫生科主任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仿宋" w:hAnsi="仿宋" w:eastAsia="仿宋" w:cs="Times New Roman"/>
                <w:b/>
                <w:bCs/>
                <w:kern w:val="0"/>
                <w:sz w:val="24"/>
                <w:szCs w:val="24"/>
              </w:rPr>
            </w:pPr>
          </w:p>
        </w:tc>
        <w:tc>
          <w:tcPr>
            <w:tcW w:w="2142" w:type="pct"/>
            <w:vAlign w:val="center"/>
          </w:tcPr>
          <w:p>
            <w:pPr>
              <w:adjustRightInd w:val="0"/>
              <w:snapToGrid w:val="0"/>
              <w:rPr>
                <w:rFonts w:ascii="仿宋" w:hAnsi="仿宋" w:eastAsia="仿宋" w:cs="Times New Roman"/>
                <w:bCs/>
                <w:kern w:val="0"/>
                <w:sz w:val="24"/>
                <w:szCs w:val="24"/>
              </w:rPr>
            </w:pPr>
            <w:r>
              <w:rPr>
                <w:rFonts w:hint="eastAsia" w:ascii="仿宋" w:hAnsi="仿宋" w:eastAsia="仿宋" w:cs="Times New Roman"/>
                <w:bCs/>
                <w:kern w:val="0"/>
                <w:sz w:val="24"/>
                <w:szCs w:val="24"/>
              </w:rPr>
              <w:t>您，是自己健康的第一责任人！——从现在开始，管理自己的健康！</w:t>
            </w:r>
          </w:p>
        </w:tc>
        <w:tc>
          <w:tcPr>
            <w:tcW w:w="496" w:type="pct"/>
            <w:vAlign w:val="center"/>
          </w:tcPr>
          <w:p>
            <w:pPr>
              <w:adjustRightInd w:val="0"/>
              <w:snapToGrid w:val="0"/>
              <w:jc w:val="center"/>
              <w:rPr>
                <w:rFonts w:ascii="仿宋" w:hAnsi="仿宋" w:eastAsia="仿宋" w:cs="方正仿宋简体"/>
                <w:bCs/>
                <w:kern w:val="0"/>
                <w:sz w:val="24"/>
                <w:szCs w:val="24"/>
              </w:rPr>
            </w:pPr>
            <w:r>
              <w:rPr>
                <w:rFonts w:hint="eastAsia" w:ascii="仿宋" w:hAnsi="仿宋" w:eastAsia="仿宋" w:cs="方正仿宋简体"/>
                <w:bCs/>
                <w:kern w:val="0"/>
                <w:sz w:val="24"/>
                <w:szCs w:val="24"/>
              </w:rPr>
              <w:t>许雅君</w:t>
            </w:r>
          </w:p>
        </w:tc>
        <w:tc>
          <w:tcPr>
            <w:tcW w:w="1487" w:type="pct"/>
            <w:vAlign w:val="center"/>
          </w:tcPr>
          <w:p>
            <w:pPr>
              <w:adjustRightInd w:val="0"/>
              <w:snapToGrid w:val="0"/>
              <w:rPr>
                <w:rFonts w:ascii="仿宋" w:hAnsi="仿宋" w:eastAsia="仿宋" w:cs="方正仿宋简体"/>
                <w:bCs/>
                <w:kern w:val="0"/>
                <w:sz w:val="24"/>
                <w:szCs w:val="24"/>
              </w:rPr>
            </w:pPr>
            <w:r>
              <w:rPr>
                <w:rFonts w:hint="eastAsia" w:ascii="仿宋" w:hAnsi="仿宋" w:eastAsia="仿宋" w:cs="方正仿宋简体"/>
                <w:bCs/>
                <w:kern w:val="0"/>
                <w:sz w:val="24"/>
                <w:szCs w:val="24"/>
              </w:rPr>
              <w:t>北京大学营养与食品卫生学系教授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仿宋" w:hAnsi="仿宋" w:eastAsia="仿宋" w:cs="Times New Roman"/>
                <w:b/>
                <w:bCs/>
                <w:kern w:val="0"/>
                <w:sz w:val="24"/>
                <w:szCs w:val="24"/>
              </w:rPr>
            </w:pPr>
          </w:p>
        </w:tc>
        <w:tc>
          <w:tcPr>
            <w:tcW w:w="2142" w:type="pct"/>
            <w:vAlign w:val="center"/>
          </w:tcPr>
          <w:p>
            <w:pPr>
              <w:adjustRightInd w:val="0"/>
              <w:snapToGrid w:val="0"/>
              <w:rPr>
                <w:rFonts w:ascii="仿宋" w:hAnsi="仿宋" w:eastAsia="仿宋" w:cs="Times New Roman"/>
                <w:bCs/>
                <w:kern w:val="0"/>
                <w:sz w:val="24"/>
                <w:szCs w:val="24"/>
              </w:rPr>
            </w:pPr>
            <w:r>
              <w:rPr>
                <w:rFonts w:hint="eastAsia" w:ascii="仿宋" w:hAnsi="仿宋" w:eastAsia="仿宋" w:cs="Times New Roman"/>
                <w:bCs/>
                <w:kern w:val="0"/>
                <w:sz w:val="24"/>
                <w:szCs w:val="24"/>
              </w:rPr>
              <w:t>遇见自己——萨提亚模式视角下的学生工作教师的自我关爱与自我成长</w:t>
            </w:r>
          </w:p>
        </w:tc>
        <w:tc>
          <w:tcPr>
            <w:tcW w:w="496" w:type="pct"/>
            <w:vAlign w:val="center"/>
          </w:tcPr>
          <w:p>
            <w:pPr>
              <w:adjustRightInd w:val="0"/>
              <w:snapToGrid w:val="0"/>
              <w:jc w:val="center"/>
              <w:rPr>
                <w:rFonts w:ascii="仿宋" w:hAnsi="仿宋" w:eastAsia="仿宋" w:cs="方正仿宋简体"/>
                <w:bCs/>
                <w:kern w:val="0"/>
                <w:sz w:val="24"/>
                <w:szCs w:val="24"/>
              </w:rPr>
            </w:pPr>
            <w:r>
              <w:rPr>
                <w:rFonts w:hint="eastAsia" w:ascii="仿宋" w:hAnsi="仿宋" w:eastAsia="仿宋" w:cs="方正仿宋简体"/>
                <w:bCs/>
                <w:kern w:val="0"/>
                <w:sz w:val="24"/>
                <w:szCs w:val="24"/>
              </w:rPr>
              <w:t>蔺桂瑞</w:t>
            </w:r>
          </w:p>
        </w:tc>
        <w:tc>
          <w:tcPr>
            <w:tcW w:w="1487" w:type="pct"/>
            <w:vAlign w:val="center"/>
          </w:tcPr>
          <w:p>
            <w:pPr>
              <w:adjustRightInd w:val="0"/>
              <w:snapToGrid w:val="0"/>
              <w:rPr>
                <w:rFonts w:ascii="仿宋" w:hAnsi="仿宋" w:eastAsia="仿宋" w:cs="方正仿宋简体"/>
                <w:bCs/>
                <w:kern w:val="0"/>
                <w:sz w:val="24"/>
                <w:szCs w:val="24"/>
              </w:rPr>
            </w:pPr>
            <w:r>
              <w:rPr>
                <w:rFonts w:hint="eastAsia" w:ascii="仿宋" w:hAnsi="仿宋" w:eastAsia="仿宋" w:cs="方正仿宋简体"/>
                <w:bCs/>
                <w:kern w:val="0"/>
                <w:sz w:val="24"/>
                <w:szCs w:val="24"/>
              </w:rPr>
              <w:t>首都师范大学心理素质教育与咨询中心教授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仿宋" w:hAnsi="仿宋" w:eastAsia="仿宋" w:cs="Times New Roman"/>
                <w:b/>
                <w:bCs/>
                <w:kern w:val="0"/>
                <w:sz w:val="24"/>
                <w:szCs w:val="24"/>
              </w:rPr>
            </w:pPr>
          </w:p>
        </w:tc>
        <w:tc>
          <w:tcPr>
            <w:tcW w:w="2142" w:type="pct"/>
            <w:vAlign w:val="center"/>
          </w:tcPr>
          <w:p>
            <w:pPr>
              <w:adjustRightInd w:val="0"/>
              <w:snapToGrid w:val="0"/>
              <w:rPr>
                <w:rFonts w:ascii="仿宋" w:hAnsi="仿宋" w:eastAsia="仿宋" w:cs="Times New Roman"/>
                <w:bCs/>
                <w:kern w:val="0"/>
                <w:sz w:val="24"/>
                <w:szCs w:val="24"/>
              </w:rPr>
            </w:pPr>
            <w:r>
              <w:rPr>
                <w:rFonts w:hint="eastAsia" w:ascii="仿宋" w:hAnsi="仿宋" w:eastAsia="仿宋" w:cs="Times New Roman"/>
                <w:bCs/>
                <w:kern w:val="0"/>
                <w:sz w:val="24"/>
                <w:szCs w:val="24"/>
              </w:rPr>
              <w:t>关注师德的心理建设</w:t>
            </w:r>
          </w:p>
        </w:tc>
        <w:tc>
          <w:tcPr>
            <w:tcW w:w="496" w:type="pct"/>
            <w:vAlign w:val="center"/>
          </w:tcPr>
          <w:p>
            <w:pPr>
              <w:widowControl/>
              <w:jc w:val="center"/>
              <w:textAlignment w:val="center"/>
              <w:rPr>
                <w:rFonts w:ascii="仿宋" w:hAnsi="仿宋" w:eastAsia="仿宋" w:cs="方正仿宋简体"/>
                <w:kern w:val="0"/>
                <w:sz w:val="24"/>
                <w:szCs w:val="24"/>
              </w:rPr>
            </w:pPr>
            <w:r>
              <w:rPr>
                <w:rFonts w:hint="eastAsia" w:ascii="仿宋" w:hAnsi="仿宋" w:eastAsia="仿宋" w:cs="方正仿宋简体"/>
                <w:bCs/>
                <w:kern w:val="0"/>
                <w:sz w:val="24"/>
                <w:szCs w:val="24"/>
              </w:rPr>
              <w:t>刘晓明</w:t>
            </w:r>
          </w:p>
        </w:tc>
        <w:tc>
          <w:tcPr>
            <w:tcW w:w="1487" w:type="pct"/>
            <w:vAlign w:val="center"/>
          </w:tcPr>
          <w:p>
            <w:pPr>
              <w:widowControl/>
              <w:textAlignment w:val="center"/>
              <w:rPr>
                <w:rFonts w:ascii="仿宋" w:hAnsi="仿宋" w:eastAsia="仿宋" w:cs="方正仿宋简体"/>
                <w:kern w:val="0"/>
                <w:sz w:val="24"/>
                <w:szCs w:val="24"/>
              </w:rPr>
            </w:pPr>
            <w:r>
              <w:rPr>
                <w:rFonts w:hint="eastAsia" w:ascii="仿宋" w:hAnsi="仿宋" w:eastAsia="仿宋" w:cs="方正仿宋简体"/>
                <w:bCs/>
                <w:kern w:val="0"/>
                <w:sz w:val="24"/>
                <w:szCs w:val="24"/>
              </w:rPr>
              <w:t>东北师范大学心理学部教授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pct"/>
            <w:vMerge w:val="continue"/>
            <w:vAlign w:val="center"/>
          </w:tcPr>
          <w:p>
            <w:pPr>
              <w:adjustRightInd w:val="0"/>
              <w:snapToGrid w:val="0"/>
              <w:jc w:val="center"/>
              <w:rPr>
                <w:rFonts w:ascii="仿宋" w:hAnsi="仿宋" w:eastAsia="仿宋" w:cs="Times New Roman"/>
                <w:b/>
                <w:bCs/>
                <w:kern w:val="0"/>
                <w:sz w:val="24"/>
                <w:szCs w:val="24"/>
              </w:rPr>
            </w:pPr>
          </w:p>
        </w:tc>
        <w:tc>
          <w:tcPr>
            <w:tcW w:w="2142" w:type="pct"/>
            <w:vAlign w:val="center"/>
          </w:tcPr>
          <w:p>
            <w:pPr>
              <w:adjustRightInd w:val="0"/>
              <w:snapToGrid w:val="0"/>
              <w:rPr>
                <w:rFonts w:ascii="仿宋" w:hAnsi="仿宋" w:eastAsia="仿宋" w:cs="Times New Roman"/>
                <w:bCs/>
                <w:kern w:val="0"/>
                <w:sz w:val="24"/>
                <w:szCs w:val="24"/>
              </w:rPr>
            </w:pPr>
            <w:r>
              <w:rPr>
                <w:rFonts w:hint="eastAsia" w:ascii="仿宋" w:hAnsi="仿宋" w:eastAsia="仿宋" w:cs="Times New Roman"/>
                <w:bCs/>
                <w:kern w:val="0"/>
                <w:sz w:val="24"/>
                <w:szCs w:val="24"/>
              </w:rPr>
              <w:t>新时代高校教师心理健康与压力管理</w:t>
            </w:r>
          </w:p>
        </w:tc>
        <w:tc>
          <w:tcPr>
            <w:tcW w:w="496" w:type="pct"/>
            <w:vAlign w:val="center"/>
          </w:tcPr>
          <w:p>
            <w:pPr>
              <w:widowControl/>
              <w:jc w:val="center"/>
              <w:textAlignment w:val="center"/>
              <w:rPr>
                <w:rFonts w:ascii="仿宋" w:hAnsi="仿宋" w:eastAsia="仿宋" w:cs="方正仿宋简体"/>
                <w:kern w:val="0"/>
                <w:sz w:val="24"/>
                <w:szCs w:val="24"/>
              </w:rPr>
            </w:pPr>
            <w:r>
              <w:rPr>
                <w:rFonts w:hint="eastAsia" w:ascii="仿宋" w:hAnsi="仿宋" w:eastAsia="仿宋" w:cs="方正仿宋简体"/>
                <w:bCs/>
                <w:kern w:val="0"/>
                <w:sz w:val="24"/>
                <w:szCs w:val="24"/>
              </w:rPr>
              <w:t>梁宁建</w:t>
            </w:r>
          </w:p>
        </w:tc>
        <w:tc>
          <w:tcPr>
            <w:tcW w:w="1487" w:type="pct"/>
            <w:vAlign w:val="center"/>
          </w:tcPr>
          <w:p>
            <w:pPr>
              <w:widowControl/>
              <w:textAlignment w:val="center"/>
              <w:rPr>
                <w:rFonts w:ascii="仿宋" w:hAnsi="仿宋" w:eastAsia="仿宋" w:cs="方正仿宋简体"/>
                <w:kern w:val="0"/>
                <w:sz w:val="24"/>
                <w:szCs w:val="24"/>
              </w:rPr>
            </w:pPr>
            <w:r>
              <w:rPr>
                <w:rFonts w:hint="eastAsia" w:ascii="仿宋" w:hAnsi="仿宋" w:eastAsia="仿宋" w:cs="方正仿宋简体"/>
                <w:bCs/>
                <w:kern w:val="0"/>
                <w:sz w:val="24"/>
                <w:szCs w:val="24"/>
              </w:rPr>
              <w:t>华东师范大学心理与认知科学学院教授</w:t>
            </w:r>
          </w:p>
        </w:tc>
      </w:tr>
    </w:tbl>
    <w:p>
      <w:pPr>
        <w:rPr>
          <w:rFonts w:ascii="楷体" w:hAnsi="楷体" w:eastAsia="楷体" w:cs="Times New Roman"/>
          <w:kern w:val="0"/>
        </w:rPr>
      </w:pPr>
      <w:r>
        <w:rPr>
          <w:rFonts w:ascii="楷体" w:hAnsi="楷体" w:eastAsia="楷体" w:cs="Times New Roman"/>
          <w:kern w:val="0"/>
        </w:rPr>
        <w:t>说明：1.个别课程或稍有调整，请以平台最终发布课程为准；</w:t>
      </w:r>
    </w:p>
    <w:p>
      <w:pPr>
        <w:ind w:firstLine="630" w:firstLineChars="300"/>
      </w:pPr>
      <w:r>
        <w:rPr>
          <w:rFonts w:ascii="楷体" w:hAnsi="楷体" w:eastAsia="楷体" w:cs="Times New Roman"/>
          <w:kern w:val="0"/>
        </w:rPr>
        <w:t>2.课程主讲人职务为课程录制时的职务。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B8950-19E9-4E23-BA97-6E9968815E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948529E-5C5F-472E-BFD5-B5486693374D}"/>
  </w:font>
  <w:font w:name="方正小标宋简体">
    <w:panose1 w:val="02000000000000000000"/>
    <w:charset w:val="86"/>
    <w:family w:val="script"/>
    <w:pitch w:val="default"/>
    <w:sig w:usb0="00000001" w:usb1="08000000" w:usb2="00000000" w:usb3="00000000" w:csb0="00040000" w:csb1="00000000"/>
    <w:embedRegular r:id="rId3" w:fontKey="{162E2445-AB54-4CC5-813A-4B4425B222D6}"/>
  </w:font>
  <w:font w:name="仿宋">
    <w:panose1 w:val="02010609060101010101"/>
    <w:charset w:val="86"/>
    <w:family w:val="modern"/>
    <w:pitch w:val="default"/>
    <w:sig w:usb0="800002BF" w:usb1="38CF7CFA" w:usb2="00000016" w:usb3="00000000" w:csb0="00040001" w:csb1="00000000"/>
    <w:embedRegular r:id="rId4" w:fontKey="{3FE6909F-3980-4B7B-B066-7D81207460F7}"/>
  </w:font>
  <w:font w:name="方正仿宋简体">
    <w:altName w:val="微软雅黑"/>
    <w:panose1 w:val="02010601030101010101"/>
    <w:charset w:val="86"/>
    <w:family w:val="auto"/>
    <w:pitch w:val="default"/>
    <w:sig w:usb0="00000000" w:usb1="00000000" w:usb2="00000010" w:usb3="00000000" w:csb0="00040000" w:csb1="00000000"/>
    <w:embedRegular r:id="rId5" w:fontKey="{00383E1E-4EC7-4A6E-8600-18788C9C594D}"/>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embedRegular r:id="rId6" w:fontKey="{60BFE53B-FB3C-4863-9E83-AA7F9BF67E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0180B"/>
    <w:rsid w:val="7010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2021-09-18T00:48:00Z</dcterms:created>
  <dc:creator>Administrator</dc:creator>
  <cp:lastModifiedBy>张亮</cp:lastModifiedBy>
  <dcterms:modified xsi:type="dcterms:W3CDTF">2021-09-22T00:56:10Z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F87EA819A7144E59B70F87EDB541E641</vt:lpwstr>
  </property>
</Properties>
</file>