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简体" w:hAnsi="方正仿宋简体" w:eastAsia="方正仿宋简体" w:cs="方正仿宋简体"/>
        </w:rPr>
      </w:pPr>
    </w:p>
    <w:p>
      <w:pPr>
        <w:jc w:val="right"/>
        <w:rPr>
          <w:rFonts w:ascii="方正仿宋简体" w:hAnsi="方正仿宋简体" w:eastAsia="方正仿宋简体" w:cs="方正仿宋简体"/>
        </w:rPr>
      </w:pPr>
    </w:p>
    <w:p>
      <w:pPr>
        <w:jc w:val="right"/>
        <w:rPr>
          <w:rFonts w:hint="eastAsia" w:ascii="仿宋_GB2312" w:hAnsi="仿宋_GB2312" w:eastAsia="仿宋_GB2312" w:cs="仿宋_GB2312"/>
        </w:rPr>
      </w:pPr>
      <w:r>
        <w:rPr>
          <w:rFonts w:hint="eastAsia" w:ascii="仿宋_GB2312" w:hAnsi="仿宋_GB2312" w:eastAsia="仿宋_GB2312" w:cs="仿宋_GB2312"/>
        </w:rPr>
        <w:t>教职成司函〔2020〕</w:t>
      </w:r>
      <w:r>
        <w:rPr>
          <w:rFonts w:hint="eastAsia" w:ascii="仿宋_GB2312" w:hAnsi="仿宋_GB2312" w:eastAsia="仿宋_GB2312" w:cs="仿宋_GB2312"/>
          <w:lang w:val="en-US" w:eastAsia="zh-CN"/>
        </w:rPr>
        <w:t>29</w:t>
      </w:r>
      <w:r>
        <w:rPr>
          <w:rFonts w:hint="eastAsia" w:ascii="仿宋_GB2312" w:hAnsi="仿宋_GB2312" w:eastAsia="仿宋_GB2312" w:cs="仿宋_GB2312"/>
        </w:rPr>
        <w:t>号</w:t>
      </w:r>
    </w:p>
    <w:p>
      <w:pPr>
        <w:jc w:val="right"/>
        <w:rPr>
          <w:rFonts w:ascii="方正仿宋简体" w:hAnsi="方正仿宋简体" w:eastAsia="方正仿宋简体" w:cs="方正仿宋简体"/>
        </w:rPr>
      </w:pPr>
    </w:p>
    <w:p>
      <w:pPr>
        <w:overflowPunct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关于组织开展2020年全国职业院校技能大赛中等职业学校班主任能力比赛配套工作的通知</w:t>
      </w:r>
    </w:p>
    <w:p>
      <w:pPr>
        <w:overflowPunct w:val="0"/>
        <w:rPr>
          <w:rFonts w:eastAsia="方正仿宋简体"/>
        </w:rPr>
      </w:pPr>
    </w:p>
    <w:p>
      <w:pPr>
        <w:overflowPunct w:val="0"/>
        <w:ind w:firstLine="0" w:firstLineChars="0"/>
        <w:rPr>
          <w:rFonts w:hint="eastAsia" w:ascii="仿宋_GB2312" w:hAnsi="仿宋_GB2312" w:eastAsia="仿宋_GB2312" w:cs="仿宋_GB2312"/>
        </w:rPr>
      </w:pPr>
      <w:r>
        <w:rPr>
          <w:rFonts w:hint="eastAsia" w:ascii="仿宋_GB2312" w:hAnsi="仿宋_GB2312" w:eastAsia="仿宋_GB2312" w:cs="仿宋_GB2312"/>
        </w:rPr>
        <w:t>各省、自治区、直辖市教育厅（教委），各计划单列市教育局，新疆生产建设兵团教育局，有关单位：</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为落实《教育部办公厅关于举办2020年全国职业院校技能大赛中等职业学校班主任能力比赛的通知》（教职成厅函〔2020〕14号）工作要求，根据比赛需要和同期活动安排，我司决定组建中等职业学校班主任能力比赛评审专家库，并组织开展比赛有关配套工作，现就有关事宜通知如下。</w:t>
      </w:r>
    </w:p>
    <w:p>
      <w:pPr>
        <w:overflowPunct w:val="0"/>
        <w:ind w:firstLine="640" w:firstLineChars="200"/>
        <w:outlineLvl w:val="0"/>
        <w:rPr>
          <w:rFonts w:ascii="黑体" w:hAnsi="黑体" w:eastAsia="黑体" w:cs="黑体"/>
        </w:rPr>
      </w:pPr>
      <w:r>
        <w:rPr>
          <w:rFonts w:hint="eastAsia" w:ascii="黑体" w:hAnsi="黑体" w:eastAsia="黑体" w:cs="黑体"/>
        </w:rPr>
        <w:t>一、推荐中职班主任工作领域专家</w:t>
      </w:r>
    </w:p>
    <w:p>
      <w:pPr>
        <w:overflowPunct w:val="0"/>
        <w:ind w:firstLine="643" w:firstLineChars="200"/>
        <w:outlineLvl w:val="1"/>
        <w:rPr>
          <w:rFonts w:eastAsia="楷体_GB2312"/>
          <w:b/>
          <w:bCs/>
        </w:rPr>
      </w:pPr>
      <w:r>
        <w:rPr>
          <w:rFonts w:eastAsia="楷体_GB2312"/>
          <w:b/>
          <w:bCs/>
        </w:rPr>
        <w:t>（一）</w:t>
      </w:r>
      <w:r>
        <w:rPr>
          <w:rFonts w:hint="eastAsia" w:eastAsia="楷体_GB2312"/>
          <w:b/>
          <w:bCs/>
        </w:rPr>
        <w:t>基本条件</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1.拥护党的领导，政治立场坚定，坚持以习近平新时代中国特色社会主义思想为指导，深入贯彻习近平总书记关于教育的重要论述，树牢“四个意识”，坚定“四个自信”，坚决做到“两个维护”。</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2.具有良好的职业道德，责任心强，工作严谨，坚持原则，作风正派，廉洁公正。</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3.热爱职业教育事业，具有较高的专业素质和理论水平，熟悉中职德育工作要求和改革进展情况，熟悉中职班主任工作相关法规政策及工作要求等，具有一定实践经验，参加过有关评价工作。</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4.身体健康，年龄原则上不超过65周岁。</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5.坚持自愿原则，且能够保证承担相关工作的时间和精力，所在单位能够提供有关支持和条件保障。</w:t>
      </w:r>
    </w:p>
    <w:p>
      <w:pPr>
        <w:overflowPunct w:val="0"/>
        <w:ind w:firstLine="643" w:firstLineChars="200"/>
        <w:outlineLvl w:val="1"/>
        <w:rPr>
          <w:rFonts w:eastAsia="楷体_GB2312"/>
          <w:b/>
          <w:bCs/>
        </w:rPr>
      </w:pPr>
      <w:r>
        <w:rPr>
          <w:rFonts w:eastAsia="楷体_GB2312"/>
          <w:b/>
          <w:bCs/>
        </w:rPr>
        <w:t>（</w:t>
      </w:r>
      <w:r>
        <w:rPr>
          <w:rFonts w:hint="eastAsia" w:eastAsia="楷体_GB2312"/>
          <w:b/>
          <w:bCs/>
        </w:rPr>
        <w:t>二</w:t>
      </w:r>
      <w:r>
        <w:rPr>
          <w:rFonts w:eastAsia="楷体_GB2312"/>
          <w:b/>
          <w:bCs/>
        </w:rPr>
        <w:t>）</w:t>
      </w:r>
      <w:r>
        <w:rPr>
          <w:rFonts w:hint="eastAsia" w:eastAsia="楷体_GB2312"/>
          <w:b/>
          <w:bCs/>
        </w:rPr>
        <w:t>推荐要求</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1.请各省级教育行政部门高度重视此项工作，优中选优，认真组织推荐不超过15名专家。</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2.统筹考虑所推荐专家在职业院校、普通高校、教科研机构、学会协会等不同类型机构的比例及所在单位、所在地区的分布，长期从事中职班主任工作的优秀教师应占一定比例。</w:t>
      </w:r>
    </w:p>
    <w:p>
      <w:pPr>
        <w:overflowPunct w:val="0"/>
        <w:ind w:firstLine="643" w:firstLineChars="200"/>
        <w:outlineLvl w:val="1"/>
        <w:rPr>
          <w:rFonts w:eastAsia="楷体_GB2312"/>
          <w:b/>
          <w:bCs/>
        </w:rPr>
      </w:pPr>
      <w:r>
        <w:rPr>
          <w:rFonts w:eastAsia="楷体_GB2312"/>
          <w:b/>
          <w:bCs/>
        </w:rPr>
        <w:t>（</w:t>
      </w:r>
      <w:r>
        <w:rPr>
          <w:rFonts w:hint="eastAsia" w:eastAsia="楷体_GB2312"/>
          <w:b/>
          <w:bCs/>
        </w:rPr>
        <w:t>三</w:t>
      </w:r>
      <w:r>
        <w:rPr>
          <w:rFonts w:eastAsia="楷体_GB2312"/>
          <w:b/>
          <w:bCs/>
        </w:rPr>
        <w:t>）</w:t>
      </w:r>
      <w:r>
        <w:rPr>
          <w:rFonts w:hint="eastAsia" w:eastAsia="楷体_GB2312"/>
          <w:b/>
          <w:bCs/>
        </w:rPr>
        <w:t>推荐办法</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被推荐的专家填写专家库人选推荐表（附件1），并根据2020年比赛方案要求，提交班级活动主题和模拟情景各2个，供建立决赛试题库参考。各省级教育行政部门审查专家库人选推荐表内容，填写推荐单位意见和专家库人选推荐汇总表（附件2），于2020年10月23日前将电子版发送至指定邮箱，纸质版盖章后寄送。我司不受理专家个人或专家所在单位直接报送的材料。</w:t>
      </w:r>
    </w:p>
    <w:p>
      <w:pPr>
        <w:overflowPunct w:val="0"/>
        <w:ind w:firstLine="643" w:firstLineChars="200"/>
        <w:rPr>
          <w:rFonts w:hint="eastAsia" w:eastAsia="楷体_GB2312"/>
          <w:b/>
          <w:bCs/>
        </w:rPr>
      </w:pPr>
      <w:r>
        <w:rPr>
          <w:rFonts w:hint="eastAsia" w:eastAsia="楷体_GB2312"/>
          <w:b/>
          <w:bCs/>
        </w:rPr>
        <w:t>（四）组建</w:t>
      </w:r>
      <w:r>
        <w:rPr>
          <w:rFonts w:eastAsia="楷体_GB2312"/>
          <w:b/>
          <w:bCs/>
        </w:rPr>
        <w:t>专家库</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各地教育行政部门推荐的专家将统一纳入专家库，作为储备专家资源。下一步，我司将根据需要邀请专家参与中职班主任领域相关工作。本次专家推荐工作不属于评奖、评优或专家资质认定范畴，不发放聘书，不发文公布专家名单。</w:t>
      </w:r>
    </w:p>
    <w:p>
      <w:pPr>
        <w:overflowPunct w:val="0"/>
        <w:ind w:firstLine="640" w:firstLineChars="200"/>
        <w:outlineLvl w:val="0"/>
        <w:rPr>
          <w:rFonts w:ascii="黑体" w:hAnsi="黑体" w:eastAsia="黑体" w:cs="黑体"/>
        </w:rPr>
      </w:pPr>
      <w:r>
        <w:rPr>
          <w:rFonts w:hint="eastAsia" w:ascii="黑体" w:hAnsi="黑体" w:eastAsia="黑体" w:cs="黑体"/>
        </w:rPr>
        <w:t>二、征集决赛赛题</w:t>
      </w:r>
    </w:p>
    <w:p>
      <w:pPr>
        <w:overflowPunct w:val="0"/>
        <w:ind w:firstLine="643" w:firstLineChars="200"/>
        <w:outlineLvl w:val="1"/>
        <w:rPr>
          <w:rFonts w:eastAsia="楷体_GB2312"/>
          <w:b/>
          <w:bCs/>
        </w:rPr>
      </w:pPr>
      <w:r>
        <w:rPr>
          <w:rFonts w:eastAsia="楷体_GB2312"/>
          <w:b/>
          <w:bCs/>
        </w:rPr>
        <w:t>（一）</w:t>
      </w:r>
      <w:r>
        <w:rPr>
          <w:rFonts w:hint="eastAsia" w:eastAsia="楷体_GB2312"/>
          <w:b/>
          <w:bCs/>
        </w:rPr>
        <w:t>赛题内容</w:t>
      </w:r>
    </w:p>
    <w:p>
      <w:pPr>
        <w:overflowPunct w:val="0"/>
        <w:ind w:firstLine="643" w:firstLineChars="200"/>
        <w:outlineLvl w:val="0"/>
        <w:rPr>
          <w:rFonts w:eastAsia="方正仿宋简体"/>
        </w:rPr>
      </w:pPr>
      <w:r>
        <w:rPr>
          <w:rFonts w:hint="eastAsia" w:ascii="仿宋_GB2312" w:hAnsi="仿宋_GB2312" w:eastAsia="仿宋_GB2312" w:cs="仿宋_GB2312"/>
          <w:b/>
          <w:bCs/>
        </w:rPr>
        <w:t>1.班级活动主题。</w:t>
      </w:r>
      <w:r>
        <w:rPr>
          <w:rFonts w:hint="eastAsia" w:ascii="仿宋_GB2312" w:hAnsi="仿宋_GB2312" w:eastAsia="仿宋_GB2312" w:cs="仿宋_GB2312"/>
        </w:rPr>
        <w:t>用于决赛“班级活动策划”环节，参赛选手根据中等职业学校学生思想道德教育、人才培养等有关规定和要求，结合随机抽取的主题策划班级活动，制订活动方案。</w:t>
      </w:r>
    </w:p>
    <w:p>
      <w:pPr>
        <w:overflowPunct w:val="0"/>
        <w:ind w:firstLine="643" w:firstLineChars="200"/>
        <w:outlineLvl w:val="0"/>
        <w:rPr>
          <w:rFonts w:eastAsia="方正仿宋简体"/>
        </w:rPr>
      </w:pPr>
      <w:r>
        <w:rPr>
          <w:rFonts w:hint="eastAsia" w:ascii="仿宋_GB2312" w:hAnsi="仿宋_GB2312" w:eastAsia="仿宋_GB2312" w:cs="仿宋_GB2312"/>
          <w:b/>
          <w:bCs/>
        </w:rPr>
        <w:t>2.模拟情景。</w:t>
      </w:r>
      <w:r>
        <w:rPr>
          <w:rFonts w:hint="eastAsia" w:ascii="仿宋_GB2312" w:hAnsi="仿宋_GB2312" w:eastAsia="仿宋_GB2312" w:cs="仿宋_GB2312"/>
        </w:rPr>
        <w:t>用于决赛“模拟情景处置”环节，参赛选手根据随机抽取的模拟情景，结合目前所带班级实际，进行模拟性的体验和思考，准备解决问题的策略和方法。</w:t>
      </w:r>
    </w:p>
    <w:p>
      <w:pPr>
        <w:overflowPunct w:val="0"/>
        <w:ind w:firstLine="643" w:firstLineChars="200"/>
        <w:outlineLvl w:val="1"/>
        <w:rPr>
          <w:rFonts w:eastAsia="楷体_GB2312"/>
          <w:b/>
          <w:bCs/>
        </w:rPr>
      </w:pPr>
      <w:r>
        <w:rPr>
          <w:rFonts w:eastAsia="楷体_GB2312"/>
          <w:b/>
          <w:bCs/>
        </w:rPr>
        <w:t>（</w:t>
      </w:r>
      <w:r>
        <w:rPr>
          <w:rFonts w:hint="eastAsia" w:eastAsia="楷体_GB2312"/>
          <w:b/>
          <w:bCs/>
        </w:rPr>
        <w:t>二</w:t>
      </w:r>
      <w:r>
        <w:rPr>
          <w:rFonts w:eastAsia="楷体_GB2312"/>
          <w:b/>
          <w:bCs/>
        </w:rPr>
        <w:t>）</w:t>
      </w:r>
      <w:r>
        <w:rPr>
          <w:rFonts w:hint="eastAsia" w:eastAsia="楷体_GB2312"/>
          <w:b/>
          <w:bCs/>
        </w:rPr>
        <w:t>赛题要求</w:t>
      </w:r>
    </w:p>
    <w:p>
      <w:pPr>
        <w:overflowPunct w:val="0"/>
        <w:ind w:firstLine="640" w:firstLineChars="200"/>
        <w:outlineLvl w:val="9"/>
        <w:rPr>
          <w:rFonts w:hint="eastAsia" w:ascii="仿宋_GB2312" w:hAnsi="仿宋_GB2312" w:eastAsia="仿宋_GB2312" w:cs="仿宋_GB2312"/>
        </w:rPr>
      </w:pPr>
      <w:r>
        <w:rPr>
          <w:rFonts w:hint="eastAsia" w:ascii="仿宋_GB2312" w:hAnsi="仿宋_GB2312" w:eastAsia="仿宋_GB2312" w:cs="仿宋_GB2312"/>
        </w:rPr>
        <w:t>班级活动主题和模拟情景应符合中等职业学校育人实际，具有一定代表性，有利于中职班主任研究、创新班级建设策略，提升建班育人能力，对丰富班级活动主题、完善班级管理的指导性较强。</w:t>
      </w:r>
    </w:p>
    <w:p>
      <w:pPr>
        <w:overflowPunct w:val="0"/>
        <w:ind w:firstLine="643" w:firstLineChars="200"/>
        <w:outlineLvl w:val="1"/>
        <w:rPr>
          <w:rFonts w:eastAsia="楷体_GB2312"/>
          <w:b/>
          <w:bCs/>
        </w:rPr>
      </w:pPr>
      <w:r>
        <w:rPr>
          <w:rFonts w:eastAsia="楷体_GB2312"/>
          <w:b/>
          <w:bCs/>
        </w:rPr>
        <w:t>（</w:t>
      </w:r>
      <w:r>
        <w:rPr>
          <w:rFonts w:hint="eastAsia" w:eastAsia="楷体_GB2312"/>
          <w:b/>
          <w:bCs/>
        </w:rPr>
        <w:t>三</w:t>
      </w:r>
      <w:r>
        <w:rPr>
          <w:rFonts w:eastAsia="楷体_GB2312"/>
          <w:b/>
          <w:bCs/>
        </w:rPr>
        <w:t>）</w:t>
      </w:r>
      <w:r>
        <w:rPr>
          <w:rFonts w:hint="eastAsia" w:eastAsia="楷体_GB2312"/>
          <w:b/>
          <w:bCs/>
        </w:rPr>
        <w:t>赛题提交</w:t>
      </w:r>
    </w:p>
    <w:p>
      <w:pPr>
        <w:overflowPunct w:val="0"/>
        <w:ind w:firstLine="640" w:firstLineChars="200"/>
        <w:outlineLvl w:val="9"/>
        <w:rPr>
          <w:rFonts w:hint="eastAsia" w:ascii="仿宋_GB2312" w:hAnsi="仿宋_GB2312" w:eastAsia="仿宋_GB2312" w:cs="仿宋_GB2312"/>
        </w:rPr>
      </w:pPr>
      <w:r>
        <w:rPr>
          <w:rFonts w:hint="eastAsia" w:ascii="仿宋_GB2312" w:hAnsi="仿宋_GB2312" w:eastAsia="仿宋_GB2312" w:cs="仿宋_GB2312"/>
        </w:rPr>
        <w:t>请各省级教育行政部门广泛发动辖区内职业院校及有关方面，组织开展赛题研制和提交工作，并于2020年10月31日前将拟订的赛题发送至指定邮箱。</w:t>
      </w:r>
    </w:p>
    <w:p>
      <w:pPr>
        <w:overflowPunct w:val="0"/>
        <w:ind w:firstLine="643" w:firstLineChars="200"/>
        <w:outlineLvl w:val="1"/>
        <w:rPr>
          <w:rFonts w:eastAsia="楷体_GB2312"/>
          <w:b/>
          <w:bCs/>
        </w:rPr>
      </w:pPr>
      <w:r>
        <w:rPr>
          <w:rFonts w:hint="eastAsia" w:eastAsia="楷体_GB2312"/>
          <w:b/>
          <w:bCs/>
        </w:rPr>
        <w:t>（四）组建</w:t>
      </w:r>
      <w:r>
        <w:rPr>
          <w:rFonts w:eastAsia="楷体_GB2312"/>
          <w:b/>
          <w:bCs/>
        </w:rPr>
        <w:t>题库</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根据比赛规则要求，2020年全国职业院校技能大赛中等职业学校班主任能力比赛执委会将组织专家对征集到的赛题进行论证，遴选组建赛题库，并根据成熟程度，统筹安排比赛使用。</w:t>
      </w:r>
    </w:p>
    <w:p>
      <w:pPr>
        <w:overflowPunct w:val="0"/>
        <w:ind w:firstLine="640" w:firstLineChars="200"/>
        <w:outlineLvl w:val="0"/>
        <w:rPr>
          <w:rFonts w:ascii="黑体" w:hAnsi="黑体" w:eastAsia="黑体" w:cs="黑体"/>
        </w:rPr>
      </w:pPr>
      <w:r>
        <w:rPr>
          <w:rFonts w:hint="eastAsia" w:ascii="黑体" w:hAnsi="黑体" w:eastAsia="黑体" w:cs="黑体"/>
        </w:rPr>
        <w:t>三、汇集“班主任工作室”案例</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在长期育人实践中，各地、各中等职业学校对加强班主任队伍建设，提升班主任建班育人能力进行了有益探索，涌现出一批“班主任工作室”建设案例。各地要结合落实《教育部办公厅关于加强和改进新时代中等职业学校德育工作的意见》（教职成厅〔2019〕7号）关于“推动建设名班主任工作室，广泛开展班主任业务能力提升活动，大力提升班主任的业务素养和育人能力”的工作要求，汇聚一批“班主任工作室”案例，为“名班主任工作室”建设提供参考。案例推荐单位应重点围绕“班主任工作室”建设的目标定位、运行机制、工作形式和载体、队伍建设成果、育人实效等方面，形成不超过3000字的介绍材料，于2020年10月31日前发送至指定邮箱。我司将选取育人成效显著，具有示范引领作用的典型案例在2020年比赛现场决赛同期报告会展示。</w:t>
      </w:r>
    </w:p>
    <w:p>
      <w:pPr>
        <w:overflowPunct w:val="0"/>
        <w:ind w:firstLine="640" w:firstLineChars="200"/>
        <w:outlineLvl w:val="0"/>
        <w:rPr>
          <w:rFonts w:ascii="黑体" w:hAnsi="黑体" w:eastAsia="黑体" w:cs="黑体"/>
        </w:rPr>
      </w:pPr>
      <w:r>
        <w:rPr>
          <w:rFonts w:hint="eastAsia" w:ascii="黑体" w:hAnsi="黑体" w:eastAsia="黑体" w:cs="黑体"/>
        </w:rPr>
        <w:t>四、开展主题征文</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我司依托《中国职业技术教育》编辑部，组织开展中等职业学校班主任队伍建设主题征文。对征集到的学术论文，择优发表并在2020年比赛现场决赛同期报告会展示。具体要求由《中国职业技术教育》编辑部另行通知，请各省级教育行政部门广泛发动，组织本地区中等职业学校班主任等相关人员积极参与。</w:t>
      </w:r>
    </w:p>
    <w:p>
      <w:pPr>
        <w:overflowPunct w:val="0"/>
        <w:ind w:firstLine="640" w:firstLineChars="200"/>
        <w:outlineLvl w:val="0"/>
        <w:rPr>
          <w:rFonts w:ascii="黑体" w:hAnsi="黑体" w:eastAsia="黑体" w:cs="黑体"/>
        </w:rPr>
      </w:pPr>
      <w:r>
        <w:rPr>
          <w:rFonts w:hint="eastAsia" w:ascii="黑体" w:hAnsi="黑体" w:eastAsia="黑体" w:cs="黑体"/>
        </w:rPr>
        <w:t>五、资料寄送</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联 系 人：陆模兴、刘  俊</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联系电话：010-66097008、66097143</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电子邮箱：zcsdyc@moe.edu.cn</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邮寄地址：北京市西单大木仓胡同37号教育部职业教育与成人教育司职业院校德育工作处</w:t>
      </w: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邮政编码：100816</w:t>
      </w:r>
    </w:p>
    <w:p>
      <w:pPr>
        <w:overflowPunct w:val="0"/>
        <w:ind w:firstLine="640" w:firstLineChars="200"/>
        <w:rPr>
          <w:rFonts w:hint="eastAsia" w:ascii="仿宋_GB2312" w:hAnsi="仿宋_GB2312" w:eastAsia="仿宋_GB2312" w:cs="仿宋_GB2312"/>
        </w:rPr>
      </w:pPr>
    </w:p>
    <w:p>
      <w:pPr>
        <w:overflowPunct w:val="0"/>
        <w:ind w:firstLine="640" w:firstLineChars="200"/>
        <w:rPr>
          <w:rFonts w:hint="eastAsia" w:ascii="仿宋_GB2312" w:hAnsi="仿宋_GB2312" w:eastAsia="仿宋_GB2312" w:cs="仿宋_GB2312"/>
        </w:rPr>
      </w:pPr>
      <w:r>
        <w:rPr>
          <w:rFonts w:hint="eastAsia" w:ascii="仿宋_GB2312" w:hAnsi="仿宋_GB2312" w:eastAsia="仿宋_GB2312" w:cs="仿宋_GB2312"/>
        </w:rPr>
        <w:t>附件：1.专家库人选推荐表</w:t>
      </w:r>
    </w:p>
    <w:p>
      <w:pPr>
        <w:overflowPunct w:val="0"/>
        <w:ind w:firstLine="1600" w:firstLineChars="500"/>
        <w:rPr>
          <w:rFonts w:hint="eastAsia" w:ascii="仿宋_GB2312" w:hAnsi="仿宋_GB2312" w:eastAsia="仿宋_GB2312" w:cs="仿宋_GB2312"/>
        </w:rPr>
      </w:pPr>
      <w:r>
        <w:rPr>
          <w:rFonts w:hint="eastAsia" w:ascii="仿宋_GB2312" w:hAnsi="仿宋_GB2312" w:eastAsia="仿宋_GB2312" w:cs="仿宋_GB2312"/>
        </w:rPr>
        <w:t>2.专家库人选推荐汇总表</w:t>
      </w:r>
    </w:p>
    <w:p>
      <w:pPr>
        <w:overflowPunct w:val="0"/>
        <w:ind w:firstLine="640" w:firstLineChars="200"/>
        <w:rPr>
          <w:rFonts w:hint="eastAsia" w:ascii="仿宋_GB2312" w:hAnsi="仿宋_GB2312" w:eastAsia="仿宋_GB2312" w:cs="仿宋_GB2312"/>
        </w:rPr>
      </w:pPr>
    </w:p>
    <w:p>
      <w:pPr>
        <w:overflowPunct w:val="0"/>
        <w:ind w:firstLine="640" w:firstLineChars="200"/>
        <w:rPr>
          <w:rFonts w:hint="eastAsia" w:ascii="仿宋_GB2312" w:hAnsi="仿宋_GB2312" w:eastAsia="仿宋_GB2312" w:cs="仿宋_GB2312"/>
        </w:rPr>
      </w:pPr>
    </w:p>
    <w:p>
      <w:pPr>
        <w:overflowPunct w:val="0"/>
        <w:ind w:firstLine="640" w:firstLineChars="200"/>
        <w:rPr>
          <w:rFonts w:hint="eastAsia" w:ascii="仿宋_GB2312" w:hAnsi="仿宋_GB2312" w:eastAsia="仿宋_GB2312" w:cs="仿宋_GB2312"/>
        </w:rPr>
      </w:pPr>
    </w:p>
    <w:p>
      <w:pPr>
        <w:wordWrap w:val="0"/>
        <w:overflowPunct w:val="0"/>
        <w:jc w:val="right"/>
        <w:rPr>
          <w:rFonts w:hint="eastAsia" w:ascii="仿宋_GB2312" w:hAnsi="仿宋_GB2312" w:eastAsia="仿宋_GB2312" w:cs="仿宋_GB2312"/>
        </w:rPr>
      </w:pPr>
      <w:r>
        <w:rPr>
          <w:rFonts w:hint="eastAsia" w:ascii="仿宋_GB2312" w:hAnsi="仿宋_GB2312" w:eastAsia="仿宋_GB2312" w:cs="仿宋_GB2312"/>
        </w:rPr>
        <w:t xml:space="preserve">教育部职业教育与成人教育司 </w:t>
      </w:r>
    </w:p>
    <w:p>
      <w:pPr>
        <w:wordWrap w:val="0"/>
        <w:overflowPunct w:val="0"/>
        <w:jc w:val="right"/>
        <w:rPr>
          <w:rFonts w:eastAsia="方正仿宋简体"/>
        </w:rPr>
      </w:pPr>
      <w:r>
        <w:rPr>
          <w:rFonts w:hint="eastAsia" w:ascii="仿宋_GB2312" w:hAnsi="仿宋_GB2312" w:eastAsia="仿宋_GB2312" w:cs="仿宋_GB2312"/>
        </w:rPr>
        <w:t>2020年9月</w:t>
      </w:r>
      <w:r>
        <w:rPr>
          <w:rFonts w:hint="eastAsia" w:ascii="仿宋_GB2312" w:hAnsi="仿宋_GB2312" w:eastAsia="仿宋_GB2312" w:cs="仿宋_GB2312"/>
          <w:lang w:val="en-US" w:eastAsia="zh-CN"/>
        </w:rPr>
        <w:t>29</w:t>
      </w:r>
      <w:r>
        <w:rPr>
          <w:rFonts w:hint="eastAsia" w:ascii="仿宋_GB2312" w:hAnsi="仿宋_GB2312" w:eastAsia="仿宋_GB2312" w:cs="仿宋_GB2312"/>
        </w:rPr>
        <w:t xml:space="preserve">日   </w:t>
      </w:r>
      <w:r>
        <w:rPr>
          <w:rFonts w:hint="eastAsia" w:eastAsia="方正仿宋简体"/>
        </w:rPr>
        <w:t xml:space="preserve">    </w:t>
      </w:r>
    </w:p>
    <w:p>
      <w:pPr>
        <w:overflowPunct w:val="0"/>
        <w:jc w:val="right"/>
        <w:rPr>
          <w:rFonts w:eastAsia="方正仿宋简体"/>
        </w:rPr>
      </w:pPr>
    </w:p>
    <w:p>
      <w:pPr>
        <w:overflowPunct w:val="0"/>
        <w:jc w:val="right"/>
        <w:rPr>
          <w:rFonts w:eastAsia="方正仿宋简体"/>
        </w:rPr>
      </w:pPr>
    </w:p>
    <w:p>
      <w:pPr>
        <w:overflowPunct w:val="0"/>
        <w:jc w:val="right"/>
        <w:rPr>
          <w:rFonts w:eastAsia="方正仿宋简体"/>
        </w:rPr>
      </w:pPr>
    </w:p>
    <w:p>
      <w:pPr>
        <w:overflowPunct w:val="0"/>
        <w:jc w:val="right"/>
        <w:rPr>
          <w:rFonts w:eastAsia="方正仿宋简体"/>
        </w:rPr>
      </w:pPr>
    </w:p>
    <w:p>
      <w:pPr>
        <w:overflowPunct w:val="0"/>
        <w:jc w:val="right"/>
        <w:rPr>
          <w:rFonts w:eastAsia="方正仿宋简体"/>
        </w:rPr>
      </w:pPr>
    </w:p>
    <w:p>
      <w:pPr>
        <w:overflowPunct w:val="0"/>
        <w:jc w:val="right"/>
        <w:rPr>
          <w:rFonts w:eastAsia="方正仿宋简体"/>
        </w:rPr>
      </w:pPr>
    </w:p>
    <w:p>
      <w:pPr>
        <w:jc w:val="left"/>
        <w:rPr>
          <w:rFonts w:eastAsia="黑体"/>
          <w:szCs w:val="32"/>
        </w:rPr>
      </w:pPr>
      <w:r>
        <w:rPr>
          <w:rFonts w:eastAsia="黑体"/>
          <w:szCs w:val="32"/>
        </w:rPr>
        <w:t>附件1</w:t>
      </w:r>
    </w:p>
    <w:p>
      <w:pPr>
        <w:snapToGrid w:val="0"/>
        <w:jc w:val="center"/>
        <w:rPr>
          <w:rFonts w:ascii="方正小标宋简体" w:hAnsi="华文中宋" w:eastAsia="方正小标宋简体"/>
          <w:sz w:val="44"/>
          <w:szCs w:val="44"/>
        </w:rPr>
      </w:pPr>
      <w:r>
        <w:rPr>
          <w:rFonts w:ascii="方正小标宋简体" w:hAnsi="华文中宋" w:eastAsia="方正小标宋简体"/>
          <w:sz w:val="44"/>
          <w:szCs w:val="44"/>
        </w:rPr>
        <w:t>全国职业院校技能大赛</w:t>
      </w:r>
      <w:r>
        <w:rPr>
          <w:rFonts w:hint="eastAsia" w:ascii="方正小标宋简体" w:hAnsi="华文中宋" w:eastAsia="方正小标宋简体"/>
          <w:sz w:val="44"/>
          <w:szCs w:val="44"/>
        </w:rPr>
        <w:t>中等职业学校</w:t>
      </w: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班主任</w:t>
      </w:r>
      <w:r>
        <w:rPr>
          <w:rFonts w:ascii="方正小标宋简体" w:hAnsi="华文中宋" w:eastAsia="方正小标宋简体"/>
          <w:sz w:val="44"/>
          <w:szCs w:val="44"/>
        </w:rPr>
        <w:t>能力比赛专家</w:t>
      </w:r>
      <w:r>
        <w:rPr>
          <w:rFonts w:hint="eastAsia" w:ascii="方正小标宋简体" w:hAnsi="华文中宋" w:eastAsia="方正小标宋简体"/>
          <w:sz w:val="44"/>
          <w:szCs w:val="44"/>
        </w:rPr>
        <w:t>库人选</w:t>
      </w:r>
      <w:r>
        <w:rPr>
          <w:rFonts w:ascii="方正小标宋简体" w:hAnsi="华文中宋" w:eastAsia="方正小标宋简体"/>
          <w:sz w:val="44"/>
          <w:szCs w:val="44"/>
        </w:rPr>
        <w:t>推荐表</w:t>
      </w:r>
    </w:p>
    <w:tbl>
      <w:tblPr>
        <w:tblStyle w:val="4"/>
        <w:tblW w:w="92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909"/>
        <w:gridCol w:w="771"/>
        <w:gridCol w:w="436"/>
        <w:gridCol w:w="1208"/>
        <w:gridCol w:w="2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tcBorders>
              <w:top w:val="single" w:color="auto" w:sz="8"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推荐单位</w:t>
            </w:r>
          </w:p>
        </w:tc>
        <w:tc>
          <w:tcPr>
            <w:tcW w:w="4324" w:type="dxa"/>
            <w:gridSpan w:val="4"/>
            <w:tcBorders>
              <w:top w:val="single" w:color="auto" w:sz="8" w:space="0"/>
            </w:tcBorders>
            <w:vAlign w:val="center"/>
          </w:tcPr>
          <w:p>
            <w:pPr>
              <w:jc w:val="center"/>
              <w:rPr>
                <w:rFonts w:hint="eastAsia" w:ascii="仿宋_GB2312" w:hAnsi="仿宋_GB2312" w:eastAsia="仿宋_GB2312" w:cs="仿宋_GB2312"/>
                <w:sz w:val="28"/>
                <w:szCs w:val="28"/>
              </w:rPr>
            </w:pPr>
          </w:p>
        </w:tc>
        <w:tc>
          <w:tcPr>
            <w:tcW w:w="2687" w:type="dxa"/>
            <w:vMerge w:val="restart"/>
            <w:tcBorders>
              <w:top w:val="single" w:color="auto" w:sz="8"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tcBorders>
              <w:top w:val="single" w:color="auto" w:sz="8"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1909" w:type="dxa"/>
            <w:vAlign w:val="center"/>
          </w:tcPr>
          <w:p>
            <w:pPr>
              <w:adjustRightInd w:val="0"/>
              <w:snapToGrid w:val="0"/>
              <w:jc w:val="center"/>
              <w:rPr>
                <w:rFonts w:hint="eastAsia" w:ascii="仿宋_GB2312" w:hAnsi="仿宋_GB2312" w:eastAsia="仿宋_GB2312" w:cs="仿宋_GB2312"/>
                <w:sz w:val="28"/>
                <w:szCs w:val="28"/>
              </w:rPr>
            </w:pPr>
          </w:p>
        </w:tc>
        <w:tc>
          <w:tcPr>
            <w:tcW w:w="1207"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性别</w:t>
            </w:r>
          </w:p>
        </w:tc>
        <w:tc>
          <w:tcPr>
            <w:tcW w:w="1208" w:type="dxa"/>
            <w:vAlign w:val="center"/>
          </w:tcPr>
          <w:p>
            <w:pPr>
              <w:adjustRightInd w:val="0"/>
              <w:snapToGrid w:val="0"/>
              <w:jc w:val="center"/>
              <w:rPr>
                <w:rFonts w:hint="eastAsia" w:ascii="仿宋_GB2312" w:hAnsi="仿宋_GB2312" w:eastAsia="仿宋_GB2312" w:cs="仿宋_GB2312"/>
                <w:sz w:val="28"/>
                <w:szCs w:val="28"/>
              </w:rPr>
            </w:pPr>
          </w:p>
        </w:tc>
        <w:tc>
          <w:tcPr>
            <w:tcW w:w="2687" w:type="dxa"/>
            <w:vMerge w:val="continue"/>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tcBorders>
              <w:top w:val="single" w:color="auto" w:sz="8"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909" w:type="dxa"/>
            <w:tcBorders>
              <w:top w:val="single" w:color="auto" w:sz="8" w:space="0"/>
            </w:tcBorders>
            <w:vAlign w:val="center"/>
          </w:tcPr>
          <w:p>
            <w:pPr>
              <w:adjustRightInd w:val="0"/>
              <w:snapToGrid w:val="0"/>
              <w:jc w:val="center"/>
              <w:rPr>
                <w:rFonts w:hint="eastAsia" w:ascii="仿宋_GB2312" w:hAnsi="仿宋_GB2312" w:eastAsia="仿宋_GB2312" w:cs="仿宋_GB2312"/>
                <w:sz w:val="28"/>
                <w:szCs w:val="28"/>
              </w:rPr>
            </w:pPr>
          </w:p>
        </w:tc>
        <w:tc>
          <w:tcPr>
            <w:tcW w:w="1207" w:type="dxa"/>
            <w:gridSpan w:val="2"/>
            <w:tcBorders>
              <w:top w:val="single" w:color="auto" w:sz="8"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208" w:type="dxa"/>
            <w:tcBorders>
              <w:top w:val="single" w:color="auto" w:sz="8" w:space="0"/>
            </w:tcBorders>
            <w:vAlign w:val="center"/>
          </w:tcPr>
          <w:p>
            <w:pPr>
              <w:adjustRightInd w:val="0"/>
              <w:snapToGrid w:val="0"/>
              <w:jc w:val="center"/>
              <w:rPr>
                <w:rFonts w:hint="eastAsia" w:ascii="仿宋_GB2312" w:hAnsi="仿宋_GB2312" w:eastAsia="仿宋_GB2312" w:cs="仿宋_GB2312"/>
                <w:sz w:val="28"/>
                <w:szCs w:val="28"/>
              </w:rPr>
            </w:pPr>
          </w:p>
        </w:tc>
        <w:tc>
          <w:tcPr>
            <w:tcW w:w="2687" w:type="dxa"/>
            <w:vMerge w:val="continue"/>
            <w:vAlign w:val="center"/>
          </w:tcPr>
          <w:p>
            <w:pPr>
              <w:adjustRightInd w:val="0"/>
              <w:snapToGrid w:val="0"/>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tcBorders>
              <w:top w:val="single" w:color="auto" w:sz="8"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4324" w:type="dxa"/>
            <w:gridSpan w:val="4"/>
            <w:tcBorders>
              <w:top w:val="single" w:color="auto" w:sz="8" w:space="0"/>
            </w:tcBorders>
            <w:vAlign w:val="center"/>
          </w:tcPr>
          <w:p>
            <w:pPr>
              <w:adjustRightInd w:val="0"/>
              <w:snapToGrid w:val="0"/>
              <w:jc w:val="center"/>
              <w:rPr>
                <w:rFonts w:hint="eastAsia" w:ascii="仿宋_GB2312" w:hAnsi="仿宋_GB2312" w:eastAsia="仿宋_GB2312" w:cs="仿宋_GB2312"/>
                <w:sz w:val="28"/>
                <w:szCs w:val="28"/>
              </w:rPr>
            </w:pPr>
          </w:p>
        </w:tc>
        <w:tc>
          <w:tcPr>
            <w:tcW w:w="2687" w:type="dxa"/>
            <w:vMerge w:val="continue"/>
            <w:vAlign w:val="center"/>
          </w:tcPr>
          <w:p>
            <w:pPr>
              <w:adjustRightInd w:val="0"/>
              <w:snapToGrid w:val="0"/>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擅长领域和</w:t>
            </w:r>
          </w:p>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专业技术方向</w:t>
            </w:r>
          </w:p>
        </w:tc>
        <w:tc>
          <w:tcPr>
            <w:tcW w:w="4324" w:type="dxa"/>
            <w:gridSpan w:val="4"/>
            <w:vAlign w:val="center"/>
          </w:tcPr>
          <w:p>
            <w:pPr>
              <w:jc w:val="center"/>
              <w:rPr>
                <w:rFonts w:hint="eastAsia" w:ascii="仿宋_GB2312" w:hAnsi="仿宋_GB2312" w:eastAsia="仿宋_GB2312" w:cs="仿宋_GB2312"/>
                <w:color w:val="000000"/>
                <w:sz w:val="28"/>
                <w:szCs w:val="28"/>
              </w:rPr>
            </w:pPr>
          </w:p>
        </w:tc>
        <w:tc>
          <w:tcPr>
            <w:tcW w:w="2687" w:type="dxa"/>
            <w:vMerge w:val="continue"/>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行政职务</w:t>
            </w:r>
            <w:r>
              <w:rPr>
                <w:rFonts w:hint="eastAsia" w:ascii="仿宋_GB2312" w:hAnsi="仿宋_GB2312" w:eastAsia="仿宋_GB2312" w:cs="仿宋_GB2312"/>
                <w:b/>
                <w:color w:val="000000"/>
                <w:sz w:val="28"/>
                <w:szCs w:val="28"/>
                <w:vertAlign w:val="superscript"/>
              </w:rPr>
              <w:t>*</w:t>
            </w:r>
          </w:p>
        </w:tc>
        <w:tc>
          <w:tcPr>
            <w:tcW w:w="1909" w:type="dxa"/>
            <w:vAlign w:val="center"/>
          </w:tcPr>
          <w:p>
            <w:pPr>
              <w:adjustRightInd w:val="0"/>
              <w:snapToGrid w:val="0"/>
              <w:jc w:val="center"/>
              <w:rPr>
                <w:rFonts w:hint="eastAsia" w:ascii="仿宋_GB2312" w:hAnsi="仿宋_GB2312" w:eastAsia="仿宋_GB2312" w:cs="仿宋_GB2312"/>
                <w:sz w:val="28"/>
                <w:szCs w:val="28"/>
              </w:rPr>
            </w:pPr>
          </w:p>
        </w:tc>
        <w:tc>
          <w:tcPr>
            <w:tcW w:w="2415" w:type="dxa"/>
            <w:gridSpan w:val="3"/>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专业技术职务</w:t>
            </w:r>
          </w:p>
        </w:tc>
        <w:tc>
          <w:tcPr>
            <w:tcW w:w="2687" w:type="dxa"/>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93"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909" w:type="dxa"/>
            <w:vAlign w:val="center"/>
          </w:tcPr>
          <w:p>
            <w:pPr>
              <w:adjustRightInd w:val="0"/>
              <w:snapToGrid w:val="0"/>
              <w:jc w:val="center"/>
              <w:rPr>
                <w:rFonts w:hint="eastAsia" w:ascii="仿宋_GB2312" w:hAnsi="仿宋_GB2312" w:eastAsia="仿宋_GB2312" w:cs="仿宋_GB2312"/>
                <w:sz w:val="28"/>
                <w:szCs w:val="28"/>
              </w:rPr>
            </w:pPr>
          </w:p>
        </w:tc>
        <w:tc>
          <w:tcPr>
            <w:tcW w:w="2415" w:type="dxa"/>
            <w:gridSpan w:val="3"/>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w:t>
            </w:r>
          </w:p>
        </w:tc>
        <w:tc>
          <w:tcPr>
            <w:tcW w:w="2687" w:type="dxa"/>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2193"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班主任及德育工作经历经验及获奖情况</w:t>
            </w:r>
          </w:p>
        </w:tc>
        <w:tc>
          <w:tcPr>
            <w:tcW w:w="7011" w:type="dxa"/>
            <w:gridSpan w:val="5"/>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2193"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近五年参与班主任竞赛活动情况</w:t>
            </w:r>
          </w:p>
        </w:tc>
        <w:tc>
          <w:tcPr>
            <w:tcW w:w="7011" w:type="dxa"/>
            <w:gridSpan w:val="5"/>
            <w:vAlign w:val="center"/>
          </w:tcPr>
          <w:p>
            <w:pPr>
              <w:pStyle w:val="8"/>
              <w:adjustRightInd w:val="0"/>
              <w:snapToGrid w:val="0"/>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4873" w:type="dxa"/>
            <w:gridSpan w:val="3"/>
            <w:tcBorders>
              <w:bottom w:val="single" w:color="auto" w:sz="8" w:space="0"/>
            </w:tcBorders>
          </w:tcPr>
          <w:p>
            <w:pPr>
              <w:pStyle w:val="8"/>
              <w:widowControl w:val="0"/>
              <w:adjustRightInd w:val="0"/>
              <w:snapToGrid w:val="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p>
            <w:pPr>
              <w:pStyle w:val="8"/>
              <w:widowControl w:val="0"/>
              <w:adjustRightInd w:val="0"/>
              <w:snapToGrid w:val="0"/>
              <w:jc w:val="both"/>
              <w:rPr>
                <w:rFonts w:hint="eastAsia" w:ascii="仿宋_GB2312" w:hAnsi="仿宋_GB2312" w:eastAsia="仿宋_GB2312" w:cs="仿宋_GB2312"/>
                <w:sz w:val="28"/>
                <w:szCs w:val="28"/>
              </w:rPr>
            </w:pPr>
          </w:p>
          <w:p>
            <w:pPr>
              <w:pStyle w:val="8"/>
              <w:widowControl w:val="0"/>
              <w:adjustRightInd w:val="0"/>
              <w:snapToGrid w:val="0"/>
              <w:jc w:val="both"/>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名称（盖章）</w:t>
            </w:r>
          </w:p>
          <w:p>
            <w:pPr>
              <w:pStyle w:val="8"/>
              <w:widowControl w:val="0"/>
              <w:adjustRightInd w:val="0"/>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331" w:type="dxa"/>
            <w:gridSpan w:val="3"/>
            <w:tcBorders>
              <w:bottom w:val="single" w:color="auto" w:sz="8" w:space="0"/>
            </w:tcBorders>
            <w:vAlign w:val="center"/>
          </w:tcPr>
          <w:p>
            <w:pPr>
              <w:pStyle w:val="8"/>
              <w:widowControl w:val="0"/>
              <w:adjustRightInd w:val="0"/>
              <w:snapToGrid w:val="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推荐单位意见：</w:t>
            </w:r>
          </w:p>
          <w:p>
            <w:pPr>
              <w:pStyle w:val="8"/>
              <w:widowControl w:val="0"/>
              <w:adjustRightInd w:val="0"/>
              <w:snapToGrid w:val="0"/>
              <w:jc w:val="both"/>
              <w:rPr>
                <w:rFonts w:hint="eastAsia" w:ascii="仿宋_GB2312" w:hAnsi="仿宋_GB2312" w:eastAsia="仿宋_GB2312" w:cs="仿宋_GB2312"/>
                <w:sz w:val="28"/>
                <w:szCs w:val="28"/>
              </w:rPr>
            </w:pPr>
          </w:p>
          <w:p>
            <w:pPr>
              <w:pStyle w:val="8"/>
              <w:widowControl w:val="0"/>
              <w:adjustRightInd w:val="0"/>
              <w:snapToGrid w:val="0"/>
              <w:jc w:val="both"/>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名称（盖章）</w:t>
            </w:r>
          </w:p>
          <w:p>
            <w:pPr>
              <w:pStyle w:val="8"/>
              <w:widowControl w:val="0"/>
              <w:adjustRightInd w:val="0"/>
              <w:snapToGrid w:val="0"/>
              <w:ind w:firstLine="2100" w:firstLineChars="7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overflowPunct w:val="0"/>
        <w:rPr>
          <w:rFonts w:hint="eastAsia" w:ascii="仿宋_GB2312" w:hAnsi="仿宋_GB2312" w:eastAsia="仿宋_GB2312" w:cs="仿宋_GB2312"/>
          <w:szCs w:val="32"/>
        </w:rPr>
        <w:sectPr>
          <w:footerReference r:id="rId3" w:type="default"/>
          <w:pgSz w:w="11906" w:h="16838"/>
          <w:pgMar w:top="2098" w:right="1474" w:bottom="1985" w:left="1588" w:header="851" w:footer="397" w:gutter="0"/>
          <w:cols w:space="720" w:num="1"/>
          <w:titlePg/>
          <w:docGrid w:type="lines" w:linePitch="579" w:charSpace="21679"/>
        </w:sectPr>
      </w:pPr>
      <w:r>
        <w:rPr>
          <w:rFonts w:hint="eastAsia" w:ascii="仿宋_GB2312" w:hAnsi="仿宋_GB2312" w:eastAsia="仿宋_GB2312" w:cs="仿宋_GB2312"/>
          <w:sz w:val="32"/>
          <w:szCs w:val="32"/>
        </w:rPr>
        <w:t>注：*请填写“校领导”“中层干部”“教师”</w:t>
      </w:r>
    </w:p>
    <w:p>
      <w:pPr>
        <w:jc w:val="left"/>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overflowPunct w:val="0"/>
        <w:snapToGrid w:val="0"/>
        <w:jc w:val="center"/>
        <w:rPr>
          <w:rFonts w:ascii="方正小标宋简体" w:hAnsi="华文中宋" w:eastAsia="方正小标宋简体"/>
          <w:sz w:val="44"/>
          <w:szCs w:val="44"/>
        </w:rPr>
      </w:pPr>
      <w:r>
        <w:rPr>
          <w:rFonts w:ascii="方正小标宋简体" w:hAnsi="华文中宋" w:eastAsia="方正小标宋简体"/>
          <w:sz w:val="44"/>
          <w:szCs w:val="44"/>
        </w:rPr>
        <w:t>全国职业院校技能大赛</w:t>
      </w:r>
      <w:r>
        <w:rPr>
          <w:rFonts w:hint="eastAsia" w:ascii="方正小标宋简体" w:hAnsi="华文中宋" w:eastAsia="方正小标宋简体"/>
          <w:sz w:val="44"/>
          <w:szCs w:val="44"/>
        </w:rPr>
        <w:t>中等职业学校班主任能力比赛</w:t>
      </w:r>
    </w:p>
    <w:p>
      <w:pPr>
        <w:overflowPunct w:val="0"/>
        <w:snapToGrid w:val="0"/>
        <w:jc w:val="center"/>
        <w:rPr>
          <w:rFonts w:eastAsia="方正仿宋简体"/>
          <w:sz w:val="44"/>
          <w:szCs w:val="44"/>
        </w:rPr>
      </w:pPr>
      <w:r>
        <w:rPr>
          <w:rFonts w:hint="eastAsia" w:ascii="方正小标宋简体" w:hAnsi="华文中宋" w:eastAsia="方正小标宋简体"/>
          <w:sz w:val="44"/>
          <w:szCs w:val="44"/>
        </w:rPr>
        <w:t>专家库人选</w:t>
      </w:r>
      <w:r>
        <w:rPr>
          <w:rFonts w:ascii="方正小标宋简体" w:hAnsi="华文中宋" w:eastAsia="方正小标宋简体"/>
          <w:sz w:val="44"/>
          <w:szCs w:val="44"/>
        </w:rPr>
        <w:t>推荐</w:t>
      </w:r>
      <w:r>
        <w:rPr>
          <w:rFonts w:hint="eastAsia" w:ascii="方正小标宋简体" w:hAnsi="华文中宋" w:eastAsia="方正小标宋简体"/>
          <w:sz w:val="44"/>
          <w:szCs w:val="44"/>
        </w:rPr>
        <w:t>汇总</w:t>
      </w:r>
      <w:r>
        <w:rPr>
          <w:rFonts w:ascii="方正小标宋简体" w:hAnsi="华文中宋" w:eastAsia="方正小标宋简体"/>
          <w:sz w:val="44"/>
          <w:szCs w:val="44"/>
        </w:rPr>
        <w:t>表</w:t>
      </w:r>
    </w:p>
    <w:tbl>
      <w:tblPr>
        <w:tblStyle w:val="4"/>
        <w:tblW w:w="14190" w:type="dxa"/>
        <w:jc w:val="center"/>
        <w:tblInd w:w="0" w:type="dxa"/>
        <w:tblLayout w:type="fixed"/>
        <w:tblCellMar>
          <w:top w:w="0" w:type="dxa"/>
          <w:left w:w="108" w:type="dxa"/>
          <w:bottom w:w="0" w:type="dxa"/>
          <w:right w:w="108" w:type="dxa"/>
        </w:tblCellMar>
      </w:tblPr>
      <w:tblGrid>
        <w:gridCol w:w="1134"/>
        <w:gridCol w:w="709"/>
        <w:gridCol w:w="709"/>
        <w:gridCol w:w="3544"/>
        <w:gridCol w:w="1842"/>
        <w:gridCol w:w="1195"/>
        <w:gridCol w:w="1107"/>
        <w:gridCol w:w="2400"/>
        <w:gridCol w:w="1550"/>
      </w:tblGrid>
      <w:tr>
        <w:tblPrEx>
          <w:tblLayout w:type="fixed"/>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性别</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年龄</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工</w:t>
            </w:r>
            <w:bookmarkStart w:id="0" w:name="_GoBack"/>
            <w:r>
              <w:rPr>
                <w:rFonts w:hint="eastAsia" w:ascii="黑体" w:hAnsi="黑体" w:eastAsia="黑体" w:cs="黑体"/>
                <w:kern w:val="0"/>
                <w:sz w:val="22"/>
                <w:szCs w:val="28"/>
              </w:rPr>
              <w:t>作单</w:t>
            </w:r>
            <w:bookmarkEnd w:id="0"/>
            <w:r>
              <w:rPr>
                <w:rFonts w:hint="eastAsia" w:ascii="黑体" w:hAnsi="黑体" w:eastAsia="黑体" w:cs="黑体"/>
                <w:kern w:val="0"/>
                <w:sz w:val="22"/>
                <w:szCs w:val="28"/>
              </w:rPr>
              <w:t>位</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擅长领域</w:t>
            </w:r>
          </w:p>
        </w:tc>
        <w:tc>
          <w:tcPr>
            <w:tcW w:w="1195"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职称</w:t>
            </w:r>
          </w:p>
        </w:tc>
        <w:tc>
          <w:tcPr>
            <w:tcW w:w="110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职务</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联系方式</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2"/>
                <w:szCs w:val="28"/>
              </w:rPr>
            </w:pPr>
            <w:r>
              <w:rPr>
                <w:rFonts w:hint="eastAsia" w:ascii="黑体" w:hAnsi="黑体" w:eastAsia="黑体" w:cs="黑体"/>
                <w:kern w:val="0"/>
                <w:sz w:val="22"/>
                <w:szCs w:val="28"/>
              </w:rPr>
              <w:t>备注</w:t>
            </w: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1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4"/>
                <w:szCs w:val="24"/>
              </w:rPr>
            </w:pP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FF"/>
                <w:kern w:val="0"/>
                <w:sz w:val="24"/>
                <w:szCs w:val="24"/>
                <w:u w:val="single"/>
              </w:rPr>
            </w:pPr>
          </w:p>
        </w:tc>
      </w:tr>
    </w:tbl>
    <w:p>
      <w:pPr>
        <w:overflowPunct w:val="0"/>
        <w:jc w:val="right"/>
        <w:rPr>
          <w:rFonts w:eastAsia="方正仿宋简体"/>
        </w:rPr>
      </w:pPr>
    </w:p>
    <w:sectPr>
      <w:pgSz w:w="16838" w:h="11906" w:orient="landscape"/>
      <w:pgMar w:top="1587" w:right="2098" w:bottom="1474" w:left="1984" w:header="851" w:footer="397" w:gutter="0"/>
      <w:cols w:space="0" w:num="1"/>
      <w:titlePg/>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6"/>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Style w:val="6"/>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attachedTemplate r:id="rId1"/>
  <w:trackRevisions w:val="1"/>
  <w:documentProtection w:enforcement="0"/>
  <w:defaultTabStop w:val="420"/>
  <w:drawingGridHorizontalSpacing w:val="213"/>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91"/>
    <w:rsid w:val="00B34C1C"/>
    <w:rsid w:val="00CB05D9"/>
    <w:rsid w:val="00CF7491"/>
    <w:rsid w:val="00D44A52"/>
    <w:rsid w:val="0AD51FEB"/>
    <w:rsid w:val="0F430309"/>
    <w:rsid w:val="12440078"/>
    <w:rsid w:val="156B3233"/>
    <w:rsid w:val="28DA02ED"/>
    <w:rsid w:val="2B5A361D"/>
    <w:rsid w:val="37544339"/>
    <w:rsid w:val="387C2045"/>
    <w:rsid w:val="3EEE2588"/>
    <w:rsid w:val="3F3F6B5F"/>
    <w:rsid w:val="3F550441"/>
    <w:rsid w:val="4CAF641C"/>
    <w:rsid w:val="55583429"/>
    <w:rsid w:val="5B6B05FA"/>
    <w:rsid w:val="63DA595F"/>
    <w:rsid w:val="63F3291B"/>
    <w:rsid w:val="6EA75FF3"/>
    <w:rsid w:val="7981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unhideWhenUsed/>
    <w:qFormat/>
    <w:uiPriority w:val="99"/>
    <w:rPr>
      <w:color w:val="0000FF"/>
      <w:u w:val="single"/>
    </w:rPr>
  </w:style>
  <w:style w:type="paragraph" w:customStyle="1" w:styleId="8">
    <w:name w:val="文本框"/>
    <w:qFormat/>
    <w:uiPriority w:val="0"/>
    <w:rPr>
      <w:rFonts w:ascii="Times New Roman" w:hAnsi="Times New Roman" w:eastAsia="宋体" w:cs="Times New Roman"/>
      <w:kern w:val="2"/>
      <w:sz w:val="21"/>
      <w:szCs w:val="24"/>
      <w:lang w:val="en-US" w:eastAsia="zh-CN" w:bidi="ar-SA"/>
    </w:rPr>
  </w:style>
  <w:style w:type="character" w:customStyle="1" w:styleId="9">
    <w:name w:val="页脚 字符"/>
    <w:link w:val="2"/>
    <w:qFormat/>
    <w:uiPriority w:val="99"/>
    <w:rPr>
      <w:rFonts w:eastAsia="仿宋_GB2312"/>
      <w:kern w:val="2"/>
      <w:sz w:val="18"/>
      <w:szCs w:val="18"/>
    </w:rPr>
  </w:style>
  <w:style w:type="character" w:customStyle="1" w:styleId="10">
    <w:name w:val="页眉 字符"/>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Pages>8</Pages>
  <Words>406</Words>
  <Characters>2318</Characters>
  <Lines>19</Lines>
  <Paragraphs>5</Paragraphs>
  <TotalTime>91</TotalTime>
  <ScaleCrop>false</ScaleCrop>
  <LinksUpToDate>false</LinksUpToDate>
  <CharactersWithSpaces>2719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2020-09-27T06:37:00Z</dcterms:created>
  <dc:creator>黄鹤楼</dc:creator>
  <cp:lastModifiedBy>金格科技</cp:lastModifiedBy>
  <cp:lastPrinted>2020-09-29T09:20:00Z</cp:lastPrinted>
  <dcterms:modified xsi:type="dcterms:W3CDTF">2020-10-10T08:50:05Z</dcterms:modified>
  <dc:title>教职成司函〔2020〕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